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01.020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A22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3212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泰州市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3212/T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种鹅场疫病防控技术规范</w:t>
      </w:r>
      <w:r>
        <w:fldChar w:fldCharType="end"/>
      </w:r>
      <w:bookmarkEnd w:id="9"/>
    </w:p>
    <w:p>
      <w:pPr>
        <w:framePr w:w="9639" w:h="6974" w:hRule="exact" w:wrap="around" w:vAnchor="page" w:hAnchor="page" w:x="1419" w:y="6408" w:anchorLock="1"/>
        <w:ind w:left="-1418"/>
        <w:rPr>
          <w:rFonts w:hint="eastAsia"/>
        </w:rPr>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Specification of Disease Prevention and Control in Breeder Goose Farms</w:t>
      </w:r>
      <w:r>
        <w:rPr>
          <w:rFonts w:ascii="黑体" w:hAnsi="黑体" w:eastAsia="黑体"/>
          <w:szCs w:val="28"/>
        </w:rPr>
        <w:t>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rPr>
          <w:rFonts w:hint="eastAsia"/>
        </w:rPr>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泰州市</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468"/>
      </w:pPr>
      <w:bookmarkStart w:id="21" w:name="BookMark2"/>
      <w:r>
        <w:rPr>
          <w:spacing w:val="320"/>
        </w:rPr>
        <w:t>前</w:t>
      </w:r>
      <w:r>
        <w:t>言</w:t>
      </w:r>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pPr>
    </w:p>
    <w:p>
      <w:pPr>
        <w:pStyle w:val="56"/>
        <w:ind w:firstLine="420"/>
      </w:pPr>
    </w:p>
    <w:p>
      <w:pPr>
        <w:pStyle w:val="56"/>
        <w:ind w:firstLine="420"/>
      </w:pPr>
    </w:p>
    <w:p>
      <w:pPr>
        <w:pStyle w:val="56"/>
        <w:ind w:firstLine="420"/>
        <w:rPr>
          <w:rFonts w:hint="eastAsia"/>
        </w:rPr>
      </w:pPr>
      <w:r>
        <w:rPr>
          <w:rFonts w:hint="eastAsia"/>
        </w:rPr>
        <w:t>本文件由</w:t>
      </w:r>
      <w:r>
        <w:rPr>
          <w:rFonts w:hint="eastAsia" w:ascii="Times New Roman"/>
        </w:rPr>
        <w:t>泰州市市场监督管理局标准化处</w:t>
      </w:r>
      <w:r>
        <w:rPr>
          <w:rFonts w:hint="eastAsia"/>
        </w:rPr>
        <w:t>提出。</w:t>
      </w:r>
    </w:p>
    <w:p>
      <w:pPr>
        <w:pStyle w:val="56"/>
        <w:ind w:firstLine="420"/>
        <w:rPr>
          <w:rFonts w:hint="eastAsia"/>
        </w:rPr>
      </w:pPr>
      <w:r>
        <w:rPr>
          <w:rFonts w:hint="eastAsia"/>
        </w:rPr>
        <w:t>本文件由</w:t>
      </w:r>
      <w:r>
        <w:rPr>
          <w:rFonts w:hint="eastAsia" w:ascii="Times New Roman"/>
        </w:rPr>
        <w:t>泰州市农业农村局</w:t>
      </w:r>
      <w:r>
        <w:rPr>
          <w:rFonts w:hint="eastAsia"/>
        </w:rPr>
        <w:t>归口。</w:t>
      </w:r>
    </w:p>
    <w:p>
      <w:pPr>
        <w:pStyle w:val="56"/>
        <w:ind w:firstLine="420"/>
        <w:rPr>
          <w:rFonts w:hint="eastAsia"/>
        </w:rPr>
      </w:pPr>
      <w:r>
        <w:rPr>
          <w:rFonts w:hint="eastAsia"/>
        </w:rPr>
        <w:t>本文件起草单位：</w:t>
      </w:r>
      <w:r>
        <w:rPr>
          <w:rFonts w:hint="eastAsia" w:ascii="Times New Roman"/>
        </w:rPr>
        <w:t>江苏农牧科技职业学院、国家水禽基因库（江苏）、泰州丰达农牧科技有限公司、泰州市海陵区畜牧兽医站。</w:t>
      </w:r>
    </w:p>
    <w:p>
      <w:pPr>
        <w:snapToGrid w:val="0"/>
        <w:ind w:firstLine="420" w:firstLineChars="200"/>
        <w:rPr>
          <w:rFonts w:ascii="Times New Roman" w:hAnsi="Times New Roman"/>
          <w:szCs w:val="20"/>
        </w:rPr>
      </w:pPr>
      <w:r>
        <w:rPr>
          <w:rFonts w:hint="eastAsia"/>
        </w:rPr>
        <w:t>本文件主要起草人：</w:t>
      </w:r>
      <w:r>
        <w:rPr>
          <w:rFonts w:hint="eastAsia" w:ascii="Times New Roman" w:hAnsi="Times New Roman"/>
          <w:szCs w:val="20"/>
        </w:rPr>
        <w:t>穆晓惠、王健、孙国波、张干生、孙侃、吴双、王军、朱微、赵孟丽、赵洪昌、纪荣超</w:t>
      </w:r>
      <w:r>
        <w:rPr>
          <w:rFonts w:hint="eastAsia" w:ascii="Times New Roman" w:hAnsi="Times New Roman"/>
          <w:szCs w:val="20"/>
          <w:lang w:eastAsia="zh-CN"/>
        </w:rPr>
        <w:t>、</w:t>
      </w:r>
      <w:r>
        <w:rPr>
          <w:rFonts w:hint="eastAsia" w:ascii="Times New Roman" w:hAnsi="Times New Roman"/>
          <w:szCs w:val="20"/>
          <w:lang w:val="en-US" w:eastAsia="zh-CN"/>
        </w:rPr>
        <w:t>卞友庆</w:t>
      </w:r>
      <w:r>
        <w:rPr>
          <w:rFonts w:hint="eastAsia" w:ascii="Times New Roman" w:hAnsi="Times New Roman"/>
          <w:szCs w:val="20"/>
        </w:rPr>
        <w:t>。</w:t>
      </w:r>
    </w:p>
    <w:p>
      <w:pPr>
        <w:pStyle w:val="56"/>
        <w:ind w:firstLine="420"/>
        <w:rPr>
          <w:rFonts w:hint="eastAsia"/>
        </w:rPr>
      </w:pPr>
    </w:p>
    <w:p>
      <w:pPr>
        <w:pStyle w:val="56"/>
        <w:ind w:firstLine="420"/>
      </w:pPr>
    </w:p>
    <w:p>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B6C811439F5C4461B179A29FE18571DA"/>
        </w:placeholder>
      </w:sdtPr>
      <w:sdtContent>
        <w:p>
          <w:pPr>
            <w:pStyle w:val="177"/>
            <w:spacing w:before="3" w:beforeLines="1" w:after="686" w:afterLines="220"/>
          </w:pPr>
          <w:bookmarkStart w:id="23" w:name="NEW_STAND_NAME"/>
          <w:r>
            <w:rPr>
              <w:rFonts w:hint="eastAsia"/>
            </w:rPr>
            <w:t>种鹅场疫病防控技术规范</w:t>
          </w:r>
        </w:p>
      </w:sdtContent>
    </w:sdt>
    <w:bookmarkEnd w:id="23"/>
    <w:p>
      <w:pPr>
        <w:pStyle w:val="104"/>
        <w:spacing w:before="312" w:after="312"/>
      </w:pPr>
      <w:bookmarkStart w:id="24" w:name="_Toc26986530"/>
      <w:bookmarkStart w:id="25" w:name="_Toc26718930"/>
      <w:bookmarkStart w:id="26" w:name="_Toc26986771"/>
      <w:bookmarkStart w:id="27" w:name="_Toc17233325"/>
      <w:bookmarkStart w:id="28" w:name="_Toc97191423"/>
      <w:bookmarkStart w:id="29" w:name="_Toc24884218"/>
      <w:bookmarkStart w:id="30" w:name="_Toc26648465"/>
      <w:bookmarkStart w:id="31" w:name="_Toc24884211"/>
      <w:bookmarkStart w:id="32" w:name="_Toc17233333"/>
      <w:r>
        <w:rPr>
          <w:rFonts w:hint="eastAsia"/>
        </w:rPr>
        <w:t>范围</w:t>
      </w:r>
      <w:bookmarkEnd w:id="24"/>
      <w:bookmarkEnd w:id="25"/>
      <w:bookmarkEnd w:id="26"/>
      <w:bookmarkEnd w:id="27"/>
      <w:bookmarkEnd w:id="28"/>
      <w:bookmarkEnd w:id="29"/>
      <w:bookmarkEnd w:id="30"/>
      <w:bookmarkEnd w:id="31"/>
      <w:bookmarkEnd w:id="32"/>
    </w:p>
    <w:p>
      <w:pPr>
        <w:pStyle w:val="56"/>
        <w:ind w:firstLine="420"/>
        <w:rPr>
          <w:rStyle w:val="230"/>
          <w:rFonts w:ascii="Times New Roman"/>
          <w:sz w:val="21"/>
          <w:szCs w:val="21"/>
        </w:rPr>
      </w:pPr>
      <w:bookmarkStart w:id="33" w:name="_Toc24884219"/>
      <w:bookmarkStart w:id="34" w:name="_Toc17233326"/>
      <w:bookmarkStart w:id="35" w:name="_Toc26648466"/>
      <w:bookmarkStart w:id="36" w:name="_Toc17233334"/>
      <w:bookmarkStart w:id="37" w:name="_Toc24884212"/>
      <w:r>
        <w:rPr>
          <w:rFonts w:hint="eastAsia"/>
        </w:rPr>
        <w:t>本标准规</w:t>
      </w:r>
      <w:r>
        <w:rPr>
          <w:rStyle w:val="230"/>
          <w:rFonts w:hint="eastAsia" w:ascii="Times New Roman"/>
          <w:sz w:val="21"/>
          <w:szCs w:val="21"/>
        </w:rPr>
        <w:t>定了种鹅场场址选择、种源引进、生物安全管理、疫病监测、风险评估和预警分析、种鹅疫病控制和净化、病死种鹅及废弃物无害化处理、标识和档案追溯管理、药物使用。</w:t>
      </w:r>
    </w:p>
    <w:p>
      <w:pPr>
        <w:pStyle w:val="56"/>
        <w:ind w:firstLine="420"/>
      </w:pPr>
      <w:r>
        <w:rPr>
          <w:rStyle w:val="230"/>
          <w:rFonts w:hint="eastAsia" w:ascii="Times New Roman"/>
          <w:sz w:val="21"/>
          <w:szCs w:val="21"/>
        </w:rPr>
        <w:t>本标准适用于泰</w:t>
      </w:r>
      <w:r>
        <w:rPr>
          <w:rFonts w:hint="eastAsia"/>
        </w:rPr>
        <w:t>州地区种鹅场疫病防控。</w:t>
      </w:r>
    </w:p>
    <w:p>
      <w:pPr>
        <w:pStyle w:val="104"/>
        <w:spacing w:before="312" w:after="312"/>
      </w:pPr>
      <w:bookmarkStart w:id="38" w:name="_Toc26718931"/>
      <w:bookmarkStart w:id="39" w:name="_Toc97191424"/>
      <w:bookmarkStart w:id="40" w:name="_Toc26986531"/>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842B995067C44A7BAB3E1FCA3DE3427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snapToGrid w:val="0"/>
        <w:spacing w:line="360" w:lineRule="auto"/>
        <w:ind w:firstLine="420" w:firstLineChars="200"/>
        <w:rPr>
          <w:rStyle w:val="230"/>
          <w:rFonts w:ascii="Times New Roman" w:hAnsi="Times New Roman"/>
          <w:sz w:val="21"/>
          <w:szCs w:val="21"/>
        </w:rPr>
      </w:pPr>
      <w:r>
        <w:rPr>
          <w:rStyle w:val="230"/>
          <w:rFonts w:ascii="Times New Roman" w:hAnsi="Times New Roman"/>
          <w:sz w:val="21"/>
          <w:szCs w:val="21"/>
        </w:rPr>
        <w:t>GB 16548</w:t>
      </w:r>
      <w:r>
        <w:rPr>
          <w:rStyle w:val="230"/>
          <w:rFonts w:hint="eastAsia" w:ascii="Times New Roman" w:hAnsi="Times New Roman"/>
          <w:sz w:val="21"/>
          <w:szCs w:val="21"/>
        </w:rPr>
        <w:t>病害动物和病害动物产品生物安全处理规程</w:t>
      </w:r>
    </w:p>
    <w:p>
      <w:pPr>
        <w:snapToGrid w:val="0"/>
        <w:spacing w:line="360" w:lineRule="auto"/>
        <w:ind w:firstLine="420" w:firstLineChars="200"/>
        <w:rPr>
          <w:rStyle w:val="230"/>
          <w:rFonts w:ascii="Times New Roman" w:hAnsi="Times New Roman"/>
          <w:sz w:val="21"/>
          <w:szCs w:val="21"/>
        </w:rPr>
      </w:pPr>
      <w:r>
        <w:rPr>
          <w:rStyle w:val="230"/>
          <w:rFonts w:ascii="Times New Roman" w:hAnsi="Times New Roman"/>
          <w:sz w:val="21"/>
          <w:szCs w:val="21"/>
        </w:rPr>
        <w:t>GB/T 16569</w:t>
      </w:r>
      <w:r>
        <w:rPr>
          <w:rStyle w:val="230"/>
          <w:rFonts w:hint="eastAsia" w:ascii="Times New Roman" w:hAnsi="Times New Roman"/>
          <w:sz w:val="21"/>
          <w:szCs w:val="21"/>
        </w:rPr>
        <w:t>畜禽产品消毒规范</w:t>
      </w:r>
    </w:p>
    <w:p>
      <w:pPr>
        <w:snapToGrid w:val="0"/>
        <w:spacing w:line="360" w:lineRule="auto"/>
        <w:ind w:firstLine="420" w:firstLineChars="200"/>
        <w:rPr>
          <w:rStyle w:val="230"/>
          <w:rFonts w:ascii="Times New Roman" w:hAnsi="Times New Roman"/>
          <w:sz w:val="21"/>
          <w:szCs w:val="21"/>
        </w:rPr>
      </w:pPr>
      <w:r>
        <w:rPr>
          <w:rStyle w:val="230"/>
          <w:rFonts w:ascii="Times New Roman" w:hAnsi="Times New Roman"/>
          <w:sz w:val="21"/>
          <w:szCs w:val="21"/>
        </w:rPr>
        <w:t>GB 18596</w:t>
      </w:r>
      <w:r>
        <w:rPr>
          <w:rStyle w:val="230"/>
          <w:rFonts w:hint="eastAsia" w:ascii="Times New Roman" w:hAnsi="Times New Roman"/>
          <w:sz w:val="21"/>
          <w:szCs w:val="21"/>
        </w:rPr>
        <w:t>畜禽养殖业污染物排放标准</w:t>
      </w:r>
    </w:p>
    <w:p>
      <w:pPr>
        <w:snapToGrid w:val="0"/>
        <w:spacing w:line="360" w:lineRule="auto"/>
        <w:ind w:firstLine="420" w:firstLineChars="200"/>
        <w:rPr>
          <w:rStyle w:val="230"/>
          <w:rFonts w:ascii="Times New Roman" w:hAnsi="Times New Roman"/>
          <w:sz w:val="21"/>
          <w:szCs w:val="21"/>
        </w:rPr>
      </w:pPr>
      <w:r>
        <w:rPr>
          <w:rStyle w:val="230"/>
          <w:rFonts w:ascii="Times New Roman" w:hAnsi="Times New Roman"/>
          <w:sz w:val="21"/>
          <w:szCs w:val="21"/>
        </w:rPr>
        <w:t>GB/T 36195</w:t>
      </w:r>
      <w:r>
        <w:rPr>
          <w:rStyle w:val="230"/>
          <w:rFonts w:hint="eastAsia" w:ascii="Times New Roman" w:hAnsi="Times New Roman"/>
          <w:sz w:val="21"/>
          <w:szCs w:val="21"/>
        </w:rPr>
        <w:t>畜禽粪便无害化处理技术规范</w:t>
      </w:r>
    </w:p>
    <w:p>
      <w:pPr>
        <w:snapToGrid w:val="0"/>
        <w:spacing w:line="360" w:lineRule="auto"/>
        <w:ind w:firstLine="420" w:firstLineChars="200"/>
        <w:rPr>
          <w:rStyle w:val="230"/>
          <w:rFonts w:ascii="Times New Roman" w:hAnsi="Times New Roman"/>
          <w:sz w:val="21"/>
          <w:szCs w:val="21"/>
        </w:rPr>
      </w:pPr>
      <w:r>
        <w:rPr>
          <w:rStyle w:val="230"/>
          <w:rFonts w:ascii="Times New Roman" w:hAnsi="Times New Roman"/>
          <w:sz w:val="21"/>
          <w:szCs w:val="21"/>
        </w:rPr>
        <w:t>GB 31650</w:t>
      </w:r>
      <w:r>
        <w:rPr>
          <w:rStyle w:val="230"/>
          <w:rFonts w:hint="eastAsia" w:ascii="Times New Roman" w:hAnsi="Times New Roman"/>
          <w:sz w:val="21"/>
          <w:szCs w:val="21"/>
        </w:rPr>
        <w:t>食品安全国家标准</w:t>
      </w:r>
      <w:r>
        <w:rPr>
          <w:rStyle w:val="230"/>
          <w:rFonts w:ascii="Times New Roman" w:hAnsi="Times New Roman"/>
          <w:sz w:val="21"/>
          <w:szCs w:val="21"/>
        </w:rPr>
        <w:t xml:space="preserve"> </w:t>
      </w:r>
      <w:r>
        <w:rPr>
          <w:rStyle w:val="230"/>
          <w:rFonts w:hint="eastAsia" w:ascii="Times New Roman" w:hAnsi="Times New Roman"/>
          <w:sz w:val="21"/>
          <w:szCs w:val="21"/>
        </w:rPr>
        <w:t>食品中兽药最大残留限量</w:t>
      </w:r>
    </w:p>
    <w:p>
      <w:pPr>
        <w:snapToGrid w:val="0"/>
        <w:spacing w:line="360" w:lineRule="auto"/>
        <w:ind w:firstLine="420" w:firstLineChars="200"/>
        <w:rPr>
          <w:rStyle w:val="230"/>
          <w:rFonts w:ascii="Times New Roman" w:hAnsi="Times New Roman"/>
          <w:sz w:val="21"/>
          <w:szCs w:val="21"/>
        </w:rPr>
      </w:pPr>
      <w:r>
        <w:rPr>
          <w:rStyle w:val="230"/>
          <w:rFonts w:ascii="Times New Roman" w:hAnsi="Times New Roman"/>
          <w:sz w:val="21"/>
          <w:szCs w:val="21"/>
        </w:rPr>
        <w:t>NY/T 388</w:t>
      </w:r>
      <w:r>
        <w:rPr>
          <w:rStyle w:val="230"/>
          <w:rFonts w:hint="eastAsia" w:ascii="Times New Roman" w:hAnsi="Times New Roman"/>
          <w:sz w:val="21"/>
          <w:szCs w:val="21"/>
        </w:rPr>
        <w:t>畜禽场环境质量标准</w:t>
      </w:r>
    </w:p>
    <w:p>
      <w:pPr>
        <w:snapToGrid w:val="0"/>
        <w:spacing w:line="360" w:lineRule="auto"/>
        <w:ind w:firstLine="420" w:firstLineChars="200"/>
        <w:rPr>
          <w:rStyle w:val="230"/>
          <w:rFonts w:ascii="Times New Roman" w:hAnsi="Times New Roman"/>
          <w:sz w:val="21"/>
          <w:szCs w:val="21"/>
        </w:rPr>
      </w:pPr>
      <w:r>
        <w:rPr>
          <w:rStyle w:val="230"/>
          <w:rFonts w:ascii="Times New Roman" w:hAnsi="Times New Roman"/>
          <w:sz w:val="21"/>
          <w:szCs w:val="21"/>
        </w:rPr>
        <w:t>NY/T 682</w:t>
      </w:r>
      <w:r>
        <w:rPr>
          <w:rStyle w:val="230"/>
          <w:rFonts w:hint="eastAsia" w:ascii="Times New Roman" w:hAnsi="Times New Roman"/>
          <w:sz w:val="21"/>
          <w:szCs w:val="21"/>
        </w:rPr>
        <w:t>畜禽场场区设计技术规范</w:t>
      </w:r>
    </w:p>
    <w:p>
      <w:pPr>
        <w:snapToGrid w:val="0"/>
        <w:spacing w:line="360" w:lineRule="auto"/>
        <w:ind w:firstLine="420" w:firstLineChars="200"/>
        <w:rPr>
          <w:rStyle w:val="230"/>
          <w:rFonts w:ascii="Times New Roman" w:hAnsi="Times New Roman"/>
          <w:sz w:val="21"/>
          <w:szCs w:val="21"/>
        </w:rPr>
      </w:pPr>
      <w:r>
        <w:rPr>
          <w:rStyle w:val="230"/>
          <w:rFonts w:ascii="Times New Roman" w:hAnsi="Times New Roman"/>
          <w:sz w:val="21"/>
          <w:szCs w:val="21"/>
        </w:rPr>
        <w:t>NY/T 1952</w:t>
      </w:r>
      <w:r>
        <w:rPr>
          <w:rStyle w:val="230"/>
          <w:rFonts w:hint="eastAsia" w:ascii="Times New Roman" w:hAnsi="Times New Roman"/>
          <w:sz w:val="21"/>
          <w:szCs w:val="21"/>
        </w:rPr>
        <w:t>动物免疫接种技术规范</w:t>
      </w:r>
    </w:p>
    <w:p>
      <w:pPr>
        <w:pStyle w:val="104"/>
        <w:spacing w:before="312" w:after="312"/>
      </w:pPr>
      <w:bookmarkStart w:id="42" w:name="_Toc97191425"/>
      <w:r>
        <w:rPr>
          <w:rFonts w:hint="eastAsia"/>
          <w:szCs w:val="21"/>
        </w:rPr>
        <w:t>术语和定义</w:t>
      </w:r>
      <w:bookmarkEnd w:id="42"/>
    </w:p>
    <w:sdt>
      <w:sdtPr>
        <w:id w:val="-1909835108"/>
        <w:placeholder>
          <w:docPart w:val="BEE3965353FD40D78D61CC1AE1FF546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3" w:name="_Toc26986532"/>
          <w:bookmarkEnd w:id="43"/>
          <w:r>
            <w:t>下列术语和定义适用于本文件。</w:t>
          </w:r>
        </w:p>
      </w:sdtContent>
    </w:sdt>
    <w:p>
      <w:pPr>
        <w:pStyle w:val="223"/>
        <w:ind w:left="420" w:hanging="420" w:hangingChars="200"/>
        <w:rPr>
          <w:rStyle w:val="230"/>
          <w:rFonts w:ascii="黑体" w:hAnsi="黑体" w:eastAsia="黑体"/>
          <w:sz w:val="21"/>
          <w:szCs w:val="21"/>
        </w:rPr>
      </w:pPr>
    </w:p>
    <w:p>
      <w:pPr>
        <w:pStyle w:val="223"/>
        <w:numPr>
          <w:ilvl w:val="2"/>
          <w:numId w:val="0"/>
        </w:numPr>
        <w:ind w:firstLine="420" w:firstLineChars="200"/>
        <w:rPr>
          <w:rStyle w:val="230"/>
          <w:rFonts w:ascii="黑体" w:hAnsi="黑体" w:eastAsia="黑体"/>
          <w:sz w:val="21"/>
          <w:szCs w:val="21"/>
        </w:rPr>
      </w:pPr>
      <w:r>
        <w:rPr>
          <w:rStyle w:val="230"/>
          <w:rFonts w:hint="eastAsia" w:ascii="黑体" w:hAnsi="黑体" w:eastAsia="黑体"/>
          <w:sz w:val="21"/>
          <w:szCs w:val="21"/>
        </w:rPr>
        <w:t>净化</w:t>
      </w:r>
      <w:r>
        <w:rPr>
          <w:rStyle w:val="230"/>
          <w:rFonts w:ascii="黑体" w:hAnsi="黑体" w:eastAsia="黑体"/>
          <w:sz w:val="21"/>
          <w:szCs w:val="21"/>
        </w:rPr>
        <w:t xml:space="preserve"> eradication</w:t>
      </w:r>
    </w:p>
    <w:p>
      <w:pPr>
        <w:pStyle w:val="56"/>
        <w:ind w:firstLine="420"/>
        <w:rPr>
          <w:rStyle w:val="230"/>
          <w:rFonts w:ascii="Times New Roman"/>
          <w:sz w:val="21"/>
          <w:szCs w:val="21"/>
        </w:rPr>
      </w:pPr>
      <w:r>
        <w:rPr>
          <w:rStyle w:val="230"/>
          <w:rFonts w:hint="eastAsia" w:ascii="Times New Roman"/>
          <w:sz w:val="21"/>
          <w:szCs w:val="21"/>
        </w:rPr>
        <w:t>指对种鹅养殖场内某种或某些重点疫病实施的有计划的消灭过程，从而达到该范围内个体不发病和无感染状态。</w:t>
      </w:r>
    </w:p>
    <w:p>
      <w:pPr>
        <w:pStyle w:val="223"/>
        <w:ind w:left="420" w:hanging="420" w:hangingChars="200"/>
        <w:rPr>
          <w:rStyle w:val="230"/>
          <w:rFonts w:ascii="黑体" w:hAnsi="黑体" w:eastAsia="黑体"/>
          <w:sz w:val="21"/>
          <w:szCs w:val="21"/>
        </w:rPr>
      </w:pPr>
    </w:p>
    <w:p>
      <w:pPr>
        <w:pStyle w:val="223"/>
        <w:numPr>
          <w:ilvl w:val="2"/>
          <w:numId w:val="0"/>
        </w:numPr>
        <w:ind w:leftChars="-200" w:firstLine="840" w:firstLineChars="400"/>
        <w:rPr>
          <w:rStyle w:val="230"/>
          <w:rFonts w:ascii="黑体" w:hAnsi="黑体" w:eastAsia="黑体"/>
          <w:sz w:val="21"/>
          <w:szCs w:val="21"/>
        </w:rPr>
      </w:pPr>
      <w:r>
        <w:rPr>
          <w:rStyle w:val="230"/>
          <w:rFonts w:hint="eastAsia" w:ascii="黑体" w:hAnsi="黑体" w:eastAsia="黑体"/>
          <w:sz w:val="21"/>
          <w:szCs w:val="21"/>
        </w:rPr>
        <w:t>生物安全</w:t>
      </w:r>
      <w:r>
        <w:rPr>
          <w:rStyle w:val="230"/>
          <w:rFonts w:ascii="黑体" w:hAnsi="黑体" w:eastAsia="黑体"/>
          <w:sz w:val="21"/>
          <w:szCs w:val="21"/>
        </w:rPr>
        <w:t xml:space="preserve"> biosecurity</w:t>
      </w:r>
    </w:p>
    <w:p>
      <w:pPr>
        <w:pStyle w:val="56"/>
        <w:ind w:firstLine="420"/>
        <w:rPr>
          <w:rStyle w:val="230"/>
          <w:rFonts w:ascii="Times New Roman"/>
          <w:sz w:val="21"/>
          <w:szCs w:val="21"/>
        </w:rPr>
      </w:pPr>
      <w:r>
        <w:rPr>
          <w:rStyle w:val="230"/>
          <w:rFonts w:hint="eastAsia" w:ascii="Times New Roman"/>
          <w:sz w:val="21"/>
          <w:szCs w:val="21"/>
        </w:rPr>
        <w:t>为降低外来病原体的传入和场内病原体的场内外散布风险，而实施的一系列物理性、化学性等防控措施。</w:t>
      </w:r>
    </w:p>
    <w:p>
      <w:pPr>
        <w:pStyle w:val="223"/>
        <w:ind w:left="420" w:hanging="420" w:hangingChars="200"/>
        <w:rPr>
          <w:rStyle w:val="230"/>
          <w:rFonts w:ascii="黑体" w:hAnsi="黑体" w:eastAsia="黑体"/>
          <w:sz w:val="21"/>
          <w:szCs w:val="21"/>
        </w:rPr>
      </w:pPr>
    </w:p>
    <w:p>
      <w:pPr>
        <w:pStyle w:val="223"/>
        <w:numPr>
          <w:ilvl w:val="2"/>
          <w:numId w:val="0"/>
        </w:numPr>
        <w:ind w:leftChars="-200" w:firstLine="840" w:firstLineChars="400"/>
        <w:rPr>
          <w:rStyle w:val="230"/>
          <w:rFonts w:ascii="黑体" w:hAnsi="黑体" w:eastAsia="黑体"/>
          <w:sz w:val="21"/>
          <w:szCs w:val="21"/>
        </w:rPr>
      </w:pPr>
      <w:r>
        <w:rPr>
          <w:rStyle w:val="230"/>
          <w:rFonts w:hint="eastAsia" w:ascii="黑体" w:hAnsi="黑体" w:eastAsia="黑体"/>
          <w:sz w:val="21"/>
          <w:szCs w:val="21"/>
        </w:rPr>
        <w:t>疫病监测</w:t>
      </w:r>
      <w:r>
        <w:rPr>
          <w:rStyle w:val="230"/>
          <w:rFonts w:ascii="黑体" w:hAnsi="黑体" w:eastAsia="黑体"/>
          <w:sz w:val="21"/>
          <w:szCs w:val="21"/>
        </w:rPr>
        <w:t xml:space="preserve"> disease surveillance</w:t>
      </w:r>
    </w:p>
    <w:p>
      <w:pPr>
        <w:pStyle w:val="56"/>
        <w:ind w:firstLine="420"/>
        <w:rPr>
          <w:rStyle w:val="230"/>
          <w:rFonts w:ascii="Times New Roman"/>
          <w:sz w:val="21"/>
          <w:szCs w:val="21"/>
        </w:rPr>
      </w:pPr>
      <w:r>
        <w:rPr>
          <w:rStyle w:val="230"/>
          <w:rFonts w:hint="eastAsia" w:ascii="Times New Roman"/>
          <w:sz w:val="21"/>
          <w:szCs w:val="21"/>
        </w:rPr>
        <w:t>按照《中华人民共和国动物防疫法》及国家、省有关疫情监测计划的规定，同时结合本场免疫程序及周边地区疫病流行情况、疫病发生的季节性特点等制定的科学方案，对重点种鹅疫病进行定期的检测和结果分析，及时将监测结果报告当地动物疫病预防控制部门或种鹅场，以便及时采取干预措施。</w:t>
      </w:r>
      <w:r>
        <w:rPr>
          <w:rStyle w:val="230"/>
          <w:rFonts w:ascii="Times New Roman"/>
          <w:sz w:val="21"/>
          <w:szCs w:val="21"/>
        </w:rPr>
        <w:t xml:space="preserve"> </w:t>
      </w:r>
    </w:p>
    <w:p>
      <w:pPr>
        <w:pStyle w:val="104"/>
        <w:spacing w:before="312" w:after="312"/>
        <w:rPr>
          <w:rStyle w:val="230"/>
          <w:rFonts w:hint="eastAsia" w:ascii="黑体" w:hAnsi="黑体" w:eastAsia="黑体" w:cs="黑体"/>
          <w:sz w:val="21"/>
          <w:szCs w:val="21"/>
        </w:rPr>
      </w:pPr>
      <w:r>
        <w:rPr>
          <w:rStyle w:val="230"/>
          <w:rFonts w:hint="eastAsia" w:ascii="黑体" w:hAnsi="黑体" w:eastAsia="黑体" w:cs="黑体"/>
          <w:sz w:val="21"/>
          <w:szCs w:val="21"/>
        </w:rPr>
        <w:t>场址选择</w:t>
      </w:r>
    </w:p>
    <w:p>
      <w:pPr>
        <w:pStyle w:val="105"/>
        <w:spacing w:before="156" w:after="156"/>
        <w:rPr>
          <w:rStyle w:val="230"/>
          <w:rFonts w:hint="eastAsia" w:ascii="黑体" w:hAnsi="黑体" w:eastAsia="黑体" w:cs="黑体"/>
          <w:sz w:val="21"/>
          <w:szCs w:val="21"/>
        </w:rPr>
      </w:pPr>
      <w:r>
        <w:rPr>
          <w:rStyle w:val="230"/>
          <w:rFonts w:hint="eastAsia" w:ascii="黑体" w:hAnsi="黑体" w:eastAsia="黑体" w:cs="黑体"/>
          <w:sz w:val="21"/>
          <w:szCs w:val="21"/>
        </w:rPr>
        <w:t>种鹅场选址</w:t>
      </w:r>
    </w:p>
    <w:p>
      <w:pPr>
        <w:pStyle w:val="65"/>
        <w:spacing w:before="156" w:after="156"/>
        <w:rPr>
          <w:rStyle w:val="230"/>
          <w:rFonts w:ascii="Times New Roman"/>
          <w:sz w:val="21"/>
          <w:szCs w:val="21"/>
        </w:rPr>
      </w:pPr>
      <w:r>
        <w:rPr>
          <w:rStyle w:val="230"/>
          <w:rFonts w:hint="eastAsia" w:ascii="Times New Roman"/>
          <w:sz w:val="21"/>
          <w:szCs w:val="21"/>
        </w:rPr>
        <w:t>种鹅场应远离化工厂、屠宰场、居民区，交通便利、水源充足、供电稳定、地势适宜、符合《中华人民共和国畜牧法》《动物防疫条件审查办法》相关要求。</w:t>
      </w:r>
    </w:p>
    <w:p>
      <w:pPr>
        <w:pStyle w:val="65"/>
        <w:spacing w:before="156" w:after="156"/>
        <w:rPr>
          <w:rStyle w:val="230"/>
          <w:rFonts w:ascii="Times New Roman"/>
          <w:sz w:val="21"/>
          <w:szCs w:val="21"/>
        </w:rPr>
      </w:pPr>
      <w:r>
        <w:rPr>
          <w:rStyle w:val="230"/>
          <w:rFonts w:hint="eastAsia" w:ascii="Times New Roman"/>
          <w:sz w:val="21"/>
          <w:szCs w:val="21"/>
        </w:rPr>
        <w:t>符合地方土地使用发展规划和城乡建设发展规划及环评的要求，还应充分考虑主风向、饲养品种、养殖规模等。</w:t>
      </w:r>
    </w:p>
    <w:p>
      <w:pPr>
        <w:pStyle w:val="105"/>
        <w:spacing w:before="156" w:after="156"/>
        <w:rPr>
          <w:rStyle w:val="230"/>
          <w:rFonts w:hint="eastAsia" w:ascii="黑体" w:hAnsi="黑体" w:eastAsia="黑体" w:cs="黑体"/>
          <w:sz w:val="21"/>
          <w:szCs w:val="21"/>
        </w:rPr>
      </w:pPr>
      <w:r>
        <w:rPr>
          <w:rStyle w:val="230"/>
          <w:rFonts w:hint="eastAsia" w:ascii="黑体" w:hAnsi="黑体" w:eastAsia="黑体" w:cs="黑体"/>
          <w:sz w:val="21"/>
          <w:szCs w:val="21"/>
        </w:rPr>
        <w:t>种鹅场布局</w:t>
      </w:r>
    </w:p>
    <w:p>
      <w:pPr>
        <w:pStyle w:val="65"/>
        <w:spacing w:before="156" w:after="156"/>
        <w:rPr>
          <w:rStyle w:val="230"/>
          <w:rFonts w:ascii="Times New Roman"/>
          <w:sz w:val="21"/>
          <w:szCs w:val="21"/>
        </w:rPr>
      </w:pPr>
      <w:r>
        <w:rPr>
          <w:rStyle w:val="230"/>
          <w:rFonts w:hint="eastAsia" w:ascii="Times New Roman"/>
          <w:sz w:val="21"/>
          <w:szCs w:val="21"/>
        </w:rPr>
        <w:t>种鹅场应设有生活区、生产区、隔离区、生产管理区、无害化处理区、配套土地（由饲养方式确定）等。</w:t>
      </w:r>
    </w:p>
    <w:p>
      <w:pPr>
        <w:pStyle w:val="65"/>
        <w:spacing w:before="156" w:after="156"/>
        <w:rPr>
          <w:rStyle w:val="230"/>
          <w:rFonts w:ascii="Times New Roman"/>
          <w:sz w:val="21"/>
          <w:szCs w:val="21"/>
        </w:rPr>
      </w:pPr>
      <w:r>
        <w:rPr>
          <w:rStyle w:val="230"/>
          <w:rFonts w:hint="eastAsia" w:ascii="Times New Roman"/>
          <w:sz w:val="21"/>
          <w:szCs w:val="21"/>
        </w:rPr>
        <w:t>各区功能明确，界限分明，场区设计符合</w:t>
      </w:r>
      <w:r>
        <w:rPr>
          <w:rStyle w:val="230"/>
          <w:rFonts w:ascii="Times New Roman"/>
          <w:sz w:val="21"/>
          <w:szCs w:val="21"/>
        </w:rPr>
        <w:t>NY/T 682</w:t>
      </w:r>
      <w:r>
        <w:rPr>
          <w:rStyle w:val="230"/>
          <w:rFonts w:hint="eastAsia" w:ascii="Times New Roman"/>
          <w:sz w:val="21"/>
          <w:szCs w:val="21"/>
        </w:rPr>
        <w:t>的要求，净道与污道分开。</w:t>
      </w:r>
    </w:p>
    <w:p>
      <w:pPr>
        <w:pStyle w:val="105"/>
        <w:spacing w:before="156" w:after="156"/>
        <w:rPr>
          <w:rFonts w:hint="eastAsia" w:ascii="黑体" w:hAnsi="黑体" w:eastAsia="黑体" w:cs="黑体"/>
        </w:rPr>
      </w:pPr>
      <w:r>
        <w:rPr>
          <w:rFonts w:hint="eastAsia" w:ascii="黑体" w:hAnsi="黑体" w:eastAsia="黑体" w:cs="黑体"/>
        </w:rPr>
        <w:t>防疫设施建设</w:t>
      </w:r>
    </w:p>
    <w:p>
      <w:pPr>
        <w:pStyle w:val="65"/>
        <w:spacing w:before="156" w:after="156"/>
        <w:rPr>
          <w:rFonts w:hint="eastAsia" w:ascii="宋体" w:hAnsi="宋体" w:eastAsia="宋体" w:cs="宋体"/>
          <w:b w:val="0"/>
          <w:bCs w:val="0"/>
        </w:rPr>
      </w:pPr>
      <w:r>
        <w:rPr>
          <w:rFonts w:hint="eastAsia" w:ascii="宋体" w:hAnsi="宋体" w:eastAsia="宋体" w:cs="宋体"/>
          <w:b w:val="0"/>
          <w:bCs w:val="0"/>
        </w:rPr>
        <w:t>种鹅场建筑应坚硬牢固、通风保温、防火防腐，宜采用砖混或钢架结构。</w:t>
      </w:r>
    </w:p>
    <w:p>
      <w:pPr>
        <w:pStyle w:val="65"/>
        <w:spacing w:before="156" w:after="156"/>
        <w:rPr>
          <w:rFonts w:hint="eastAsia" w:ascii="宋体" w:hAnsi="宋体" w:eastAsia="宋体" w:cs="宋体"/>
        </w:rPr>
      </w:pPr>
      <w:r>
        <w:rPr>
          <w:rFonts w:hint="eastAsia" w:ascii="宋体" w:hAnsi="宋体" w:eastAsia="宋体" w:cs="宋体"/>
        </w:rPr>
        <w:t>应根据GB/T 16569的要求科学合理设置消毒防疫设施且雨污分离，同时设置防护网、病死禽处理设备等。</w:t>
      </w:r>
    </w:p>
    <w:p>
      <w:pPr>
        <w:pStyle w:val="105"/>
        <w:spacing w:before="156" w:after="156"/>
      </w:pPr>
      <w:r>
        <w:rPr>
          <w:rFonts w:hint="eastAsia"/>
        </w:rPr>
        <w:t>条件</w:t>
      </w:r>
    </w:p>
    <w:p>
      <w:pPr>
        <w:pStyle w:val="56"/>
        <w:ind w:firstLine="420"/>
      </w:pPr>
      <w:r>
        <w:rPr>
          <w:rFonts w:hint="eastAsia"/>
        </w:rPr>
        <w:t>种鹅场应取得《动物防疫条件合格证》，空气、生态环境质量标准以及饮用水的水质应符</w:t>
      </w:r>
      <w:r>
        <w:t>NY/T 388</w:t>
      </w:r>
      <w:r>
        <w:rPr>
          <w:rFonts w:hint="eastAsia"/>
        </w:rPr>
        <w:t>的要求、污水、废渣的排液应符合</w:t>
      </w:r>
      <w:r>
        <w:t>GB 18596</w:t>
      </w:r>
      <w:r>
        <w:rPr>
          <w:rFonts w:hint="eastAsia"/>
        </w:rPr>
        <w:t>的规定。</w:t>
      </w:r>
    </w:p>
    <w:p>
      <w:pPr>
        <w:pStyle w:val="104"/>
        <w:spacing w:before="312" w:after="312"/>
      </w:pPr>
      <w:r>
        <w:rPr>
          <w:rFonts w:hint="eastAsia"/>
        </w:rPr>
        <w:t>种源引进</w:t>
      </w:r>
    </w:p>
    <w:p>
      <w:pPr>
        <w:pStyle w:val="105"/>
        <w:spacing w:before="156" w:after="156"/>
      </w:pPr>
      <w:r>
        <w:rPr>
          <w:rFonts w:hint="eastAsia"/>
        </w:rPr>
        <w:t>种鹅品种选择</w:t>
      </w:r>
    </w:p>
    <w:p>
      <w:pPr>
        <w:pStyle w:val="56"/>
        <w:ind w:firstLine="420"/>
        <w:rPr>
          <w:rFonts w:hint="eastAsia"/>
          <w:color w:val="auto"/>
        </w:rPr>
      </w:pPr>
      <w:r>
        <w:rPr>
          <w:rFonts w:hint="eastAsia"/>
          <w:color w:val="auto"/>
        </w:rPr>
        <w:t>应该根据实际生产需要选择合适的种鹅，</w:t>
      </w:r>
      <w:r>
        <w:rPr>
          <w:rFonts w:hint="eastAsia"/>
          <w:color w:val="auto"/>
          <w:lang w:val="en-US" w:eastAsia="zh-CN"/>
        </w:rPr>
        <w:t>应主要</w:t>
      </w:r>
      <w:r>
        <w:rPr>
          <w:rFonts w:hint="eastAsia"/>
          <w:color w:val="auto"/>
        </w:rPr>
        <w:t>考虑生产性能良好、抗病力强、抗逆性强的种鹅。</w:t>
      </w:r>
    </w:p>
    <w:p>
      <w:pPr>
        <w:pStyle w:val="105"/>
        <w:spacing w:before="156" w:after="156"/>
      </w:pPr>
      <w:r>
        <w:rPr>
          <w:rFonts w:hint="eastAsia"/>
        </w:rPr>
        <w:t>引种要求</w:t>
      </w:r>
    </w:p>
    <w:p>
      <w:pPr>
        <w:pStyle w:val="165"/>
      </w:pPr>
      <w:r>
        <w:rPr>
          <w:rFonts w:hint="eastAsia"/>
        </w:rPr>
        <w:t>国内引种需从拥有《种畜禽生产经营许可证》、《动物防疫条件合格证》、种禽系谱资料的引种单位或具有相关资质的育种单位引进。</w:t>
      </w:r>
    </w:p>
    <w:p>
      <w:pPr>
        <w:pStyle w:val="165"/>
      </w:pPr>
      <w:r>
        <w:rPr>
          <w:rFonts w:hint="eastAsia"/>
        </w:rPr>
        <w:t>国外引种应有国家畜牧兽医行政主管部门签发的审批意见及出入境检验检疫系统出具的《入境货物检验检疫证明》，经产地检疫合格后方可引入。</w:t>
      </w:r>
    </w:p>
    <w:p>
      <w:pPr>
        <w:pStyle w:val="105"/>
        <w:spacing w:before="156" w:after="156"/>
      </w:pPr>
      <w:r>
        <w:rPr>
          <w:rFonts w:hint="eastAsia"/>
        </w:rPr>
        <w:t>防疫要求</w:t>
      </w:r>
    </w:p>
    <w:p>
      <w:pPr>
        <w:pStyle w:val="165"/>
      </w:pPr>
      <w:r>
        <w:rPr>
          <w:rFonts w:hint="eastAsia"/>
        </w:rPr>
        <w:t>严禁从疫区引进种鹅</w:t>
      </w:r>
      <w:r>
        <w:t>/</w:t>
      </w:r>
      <w:r>
        <w:rPr>
          <w:rFonts w:hint="eastAsia"/>
        </w:rPr>
        <w:t>种蛋。</w:t>
      </w:r>
    </w:p>
    <w:p>
      <w:pPr>
        <w:pStyle w:val="165"/>
      </w:pPr>
      <w:r>
        <w:rPr>
          <w:rFonts w:hint="eastAsia"/>
        </w:rPr>
        <w:t>引进的种鹅</w:t>
      </w:r>
      <w:r>
        <w:t>/</w:t>
      </w:r>
      <w:r>
        <w:rPr>
          <w:rFonts w:hint="eastAsia"/>
        </w:rPr>
        <w:t>种蛋应做好消毒和隔离饲养，经检疫合格后方可进入养殖场饲养。</w:t>
      </w:r>
    </w:p>
    <w:p>
      <w:pPr>
        <w:pStyle w:val="104"/>
        <w:spacing w:before="312" w:after="312"/>
      </w:pPr>
      <w:r>
        <w:rPr>
          <w:rFonts w:hint="eastAsia"/>
        </w:rPr>
        <w:t>生物安全管理</w:t>
      </w:r>
    </w:p>
    <w:p>
      <w:pPr>
        <w:pStyle w:val="105"/>
        <w:spacing w:before="156" w:after="156"/>
      </w:pPr>
      <w:r>
        <w:rPr>
          <w:rFonts w:hint="eastAsia"/>
        </w:rPr>
        <w:t>清洗</w:t>
      </w:r>
    </w:p>
    <w:p>
      <w:pPr>
        <w:pStyle w:val="56"/>
        <w:ind w:firstLine="420"/>
      </w:pPr>
      <w:r>
        <w:rPr>
          <w:rFonts w:hint="eastAsia"/>
        </w:rPr>
        <w:t>定期清洗屋顶、窗子上的蜘蛛网、棚舍地面、墙壁、料槽、水槽、围栏、蛋窝及不可拆卸设备进行冲洗和刷洗，对一些地面进行浅水消毒液浸泡。</w:t>
      </w:r>
    </w:p>
    <w:p>
      <w:pPr>
        <w:pStyle w:val="105"/>
        <w:spacing w:before="156" w:after="156"/>
      </w:pPr>
      <w:r>
        <w:rPr>
          <w:rFonts w:hint="eastAsia"/>
        </w:rPr>
        <w:t>消毒</w:t>
      </w:r>
    </w:p>
    <w:p>
      <w:pPr>
        <w:pStyle w:val="65"/>
        <w:spacing w:before="156" w:after="156"/>
      </w:pPr>
      <w:r>
        <w:rPr>
          <w:rFonts w:hint="eastAsia"/>
        </w:rPr>
        <w:t>消毒原则</w:t>
      </w:r>
    </w:p>
    <w:p>
      <w:pPr>
        <w:pStyle w:val="164"/>
      </w:pPr>
      <w:r>
        <w:rPr>
          <w:rFonts w:hint="eastAsia"/>
        </w:rPr>
        <w:t>种鹅场应体现全覆盖、常态化的消毒理念，合理且不过度消毒。</w:t>
      </w:r>
    </w:p>
    <w:p>
      <w:pPr>
        <w:pStyle w:val="164"/>
      </w:pPr>
      <w:r>
        <w:rPr>
          <w:rFonts w:hint="eastAsia"/>
        </w:rPr>
        <w:t>消毒剂的选择应符合国家相关规定，应选择具有正规生产批号、广谱、高效、刺激性低、安全性好、残留低的消毒药物。</w:t>
      </w:r>
    </w:p>
    <w:p>
      <w:pPr>
        <w:pStyle w:val="164"/>
      </w:pPr>
      <w:r>
        <w:rPr>
          <w:rFonts w:hint="eastAsia"/>
        </w:rPr>
        <w:t>种鹅场应科学制定消毒制度和具体消毒方案，选择出三种以上不同类型的消毒剂，定期轮换使用。</w:t>
      </w:r>
      <w:r>
        <w:t xml:space="preserve"> </w:t>
      </w:r>
    </w:p>
    <w:p>
      <w:pPr>
        <w:pStyle w:val="65"/>
        <w:spacing w:before="156" w:after="156"/>
      </w:pPr>
      <w:r>
        <w:rPr>
          <w:rFonts w:hint="eastAsia"/>
        </w:rPr>
        <w:t>环境消毒</w:t>
      </w:r>
    </w:p>
    <w:p>
      <w:pPr>
        <w:pStyle w:val="56"/>
        <w:ind w:firstLine="420"/>
      </w:pPr>
      <w:r>
        <w:rPr>
          <w:rFonts w:hint="eastAsia"/>
        </w:rPr>
        <w:t>定期对生产区、生活区、管理区、种鹅舍内空气等环境进行消毒，且每月场区周边、场内污水池、排粪沟、下水道出口消毒</w:t>
      </w:r>
      <w:r>
        <w:t>1</w:t>
      </w:r>
      <w:r>
        <w:rPr>
          <w:rFonts w:hint="eastAsia"/>
        </w:rPr>
        <w:t>次。</w:t>
      </w:r>
      <w:r>
        <w:t xml:space="preserve"> </w:t>
      </w:r>
    </w:p>
    <w:p>
      <w:pPr>
        <w:pStyle w:val="65"/>
        <w:spacing w:before="156" w:after="156"/>
      </w:pPr>
      <w:r>
        <w:rPr>
          <w:rFonts w:hint="eastAsia"/>
        </w:rPr>
        <w:t>入口消毒</w:t>
      </w:r>
    </w:p>
    <w:p>
      <w:pPr>
        <w:pStyle w:val="164"/>
      </w:pPr>
      <w:r>
        <w:rPr>
          <w:rFonts w:hint="eastAsia"/>
        </w:rPr>
        <w:t>种鹅养殖场和各个区域入口处和各个养殖栋舍出入口和通往粪池的必经之处也要定期消毒。</w:t>
      </w:r>
    </w:p>
    <w:p>
      <w:pPr>
        <w:pStyle w:val="164"/>
      </w:pPr>
      <w:r>
        <w:rPr>
          <w:rFonts w:hint="eastAsia"/>
        </w:rPr>
        <w:t>消毒池内的消毒剂可用</w:t>
      </w:r>
      <w:r>
        <w:t>10%</w:t>
      </w:r>
      <w:r>
        <w:rPr>
          <w:rFonts w:hint="eastAsia"/>
        </w:rPr>
        <w:t>～</w:t>
      </w:r>
      <w:r>
        <w:t>20%</w:t>
      </w:r>
      <w:r>
        <w:rPr>
          <w:rFonts w:hint="eastAsia"/>
        </w:rPr>
        <w:t>生石灰或</w:t>
      </w:r>
      <w:r>
        <w:t>2%</w:t>
      </w:r>
      <w:r>
        <w:rPr>
          <w:rFonts w:hint="eastAsia"/>
        </w:rPr>
        <w:t>氢氧化钠溶液，消毒池内的消毒剂每周至少更换</w:t>
      </w:r>
      <w:r>
        <w:t>1</w:t>
      </w:r>
      <w:r>
        <w:rPr>
          <w:rFonts w:hint="eastAsia"/>
        </w:rPr>
        <w:t>次。</w:t>
      </w:r>
    </w:p>
    <w:p>
      <w:pPr>
        <w:pStyle w:val="65"/>
        <w:spacing w:before="156" w:after="156"/>
      </w:pPr>
      <w:r>
        <w:rPr>
          <w:rFonts w:hint="eastAsia"/>
        </w:rPr>
        <w:t>人员消毒</w:t>
      </w:r>
    </w:p>
    <w:p>
      <w:pPr>
        <w:pStyle w:val="164"/>
      </w:pPr>
      <w:r>
        <w:rPr>
          <w:rFonts w:hint="eastAsia"/>
        </w:rPr>
        <w:t>人员进出饲养区需要更换专用雨靴，必须洗手、更衣、经过消毒池，同时人员通道选用固定式雾化器进行喷雾消毒。</w:t>
      </w:r>
    </w:p>
    <w:p>
      <w:pPr>
        <w:pStyle w:val="164"/>
      </w:pPr>
      <w:r>
        <w:rPr>
          <w:rFonts w:hint="eastAsia"/>
        </w:rPr>
        <w:t>人员用衣物鞋帽消毒可用紫外消毒灯进行消毒，并定期洗刷。</w:t>
      </w:r>
    </w:p>
    <w:p>
      <w:pPr>
        <w:pStyle w:val="65"/>
        <w:spacing w:before="156" w:after="156"/>
      </w:pPr>
      <w:r>
        <w:rPr>
          <w:rFonts w:hint="eastAsia"/>
        </w:rPr>
        <w:t>种鹅舍内消毒</w:t>
      </w:r>
    </w:p>
    <w:p>
      <w:pPr>
        <w:pStyle w:val="164"/>
      </w:pPr>
      <w:r>
        <w:rPr>
          <w:rFonts w:hint="eastAsia"/>
        </w:rPr>
        <w:t>定期对种鹅舍进行带种鹅喷雾消毒，选用小孔喷头进行喷雾，且喷雾高于种鹅头进行平喷。</w:t>
      </w:r>
    </w:p>
    <w:p>
      <w:pPr>
        <w:pStyle w:val="164"/>
      </w:pPr>
      <w:r>
        <w:rPr>
          <w:rFonts w:hint="eastAsia"/>
        </w:rPr>
        <w:t>对种鹅舍内的饲养用具、</w:t>
      </w:r>
      <w:bookmarkStart w:id="47" w:name="_GoBack"/>
      <w:bookmarkEnd w:id="47"/>
      <w:r>
        <w:rPr>
          <w:rFonts w:hint="eastAsia"/>
          <w:lang w:val="en-US" w:eastAsia="zh-CN"/>
        </w:rPr>
        <w:t>水线、</w:t>
      </w:r>
      <w:r>
        <w:rPr>
          <w:rFonts w:hint="eastAsia"/>
        </w:rPr>
        <w:t>喂料设备、饲料车、蛋车等物品应定期消毒。</w:t>
      </w:r>
    </w:p>
    <w:p>
      <w:pPr>
        <w:pStyle w:val="164"/>
      </w:pPr>
      <w:r>
        <w:rPr>
          <w:rFonts w:hint="eastAsia"/>
        </w:rPr>
        <w:t>空种鹅舍内消毒程序一般为：全面清扫</w:t>
      </w:r>
      <w:r>
        <w:t>—</w:t>
      </w:r>
      <w:r>
        <w:rPr>
          <w:rFonts w:hint="eastAsia"/>
        </w:rPr>
        <w:t>高压水枪冲洗</w:t>
      </w:r>
      <w:r>
        <w:t>—</w:t>
      </w:r>
      <w:r>
        <w:rPr>
          <w:rFonts w:hint="eastAsia"/>
        </w:rPr>
        <w:t>喷洒消毒剂</w:t>
      </w:r>
      <w:r>
        <w:t>—</w:t>
      </w:r>
      <w:r>
        <w:rPr>
          <w:rFonts w:hint="eastAsia"/>
        </w:rPr>
        <w:t>清水冲洗</w:t>
      </w:r>
      <w:r>
        <w:t>—</w:t>
      </w:r>
      <w:r>
        <w:rPr>
          <w:rFonts w:hint="eastAsia"/>
        </w:rPr>
        <w:t>熏蒸，待空舍</w:t>
      </w:r>
      <w:r>
        <w:t>2</w:t>
      </w:r>
      <w:r>
        <w:rPr>
          <w:rFonts w:hint="eastAsia"/>
        </w:rPr>
        <w:t>周后再转入种鹅。</w:t>
      </w:r>
    </w:p>
    <w:p>
      <w:pPr>
        <w:pStyle w:val="65"/>
        <w:spacing w:before="156" w:after="156"/>
        <w:rPr>
          <w:rFonts w:ascii="宋体" w:eastAsia="宋体"/>
        </w:rPr>
      </w:pPr>
      <w:r>
        <w:rPr>
          <w:rFonts w:hint="eastAsia"/>
        </w:rPr>
        <w:t>其他</w:t>
      </w:r>
    </w:p>
    <w:p>
      <w:pPr>
        <w:pStyle w:val="164"/>
      </w:pPr>
      <w:r>
        <w:rPr>
          <w:rFonts w:hint="eastAsia"/>
        </w:rPr>
        <w:t>工作人员进出养殖区应做好自身消毒，非工作人员未经允许不得入场。</w:t>
      </w:r>
    </w:p>
    <w:p>
      <w:pPr>
        <w:pStyle w:val="164"/>
      </w:pPr>
      <w:r>
        <w:rPr>
          <w:rFonts w:hint="eastAsia"/>
        </w:rPr>
        <w:t>消毒人员应定期参加安全生产、应急处理培训，并根据消毒剂类型合理佩戴防护用具。</w:t>
      </w:r>
      <w:r>
        <w:t xml:space="preserve"> </w:t>
      </w:r>
    </w:p>
    <w:p>
      <w:pPr>
        <w:pStyle w:val="105"/>
        <w:spacing w:before="156" w:after="156"/>
      </w:pPr>
      <w:r>
        <w:rPr>
          <w:rFonts w:hint="eastAsia"/>
        </w:rPr>
        <w:t>免疫</w:t>
      </w:r>
    </w:p>
    <w:p>
      <w:pPr>
        <w:pStyle w:val="65"/>
        <w:spacing w:before="156" w:after="156"/>
      </w:pPr>
      <w:r>
        <w:rPr>
          <w:rFonts w:hint="eastAsia"/>
        </w:rPr>
        <w:t>疫苗接种</w:t>
      </w:r>
    </w:p>
    <w:p>
      <w:pPr>
        <w:pStyle w:val="56"/>
        <w:ind w:firstLine="420"/>
      </w:pPr>
      <w:r>
        <w:rPr>
          <w:rFonts w:hint="eastAsia"/>
        </w:rPr>
        <w:t>制订科学合理的免疫程序，按照</w:t>
      </w:r>
      <w:r>
        <w:t>NY/T 1952</w:t>
      </w:r>
      <w:r>
        <w:rPr>
          <w:rFonts w:hint="eastAsia"/>
        </w:rPr>
        <w:t>要求及时科学进行免疫预防，推荐种鹅场的免疫程序见附录</w:t>
      </w:r>
      <w:r>
        <w:t>A</w:t>
      </w:r>
      <w:r>
        <w:rPr>
          <w:rFonts w:hint="eastAsia"/>
        </w:rPr>
        <w:t>。</w:t>
      </w:r>
    </w:p>
    <w:p>
      <w:pPr>
        <w:pStyle w:val="65"/>
        <w:spacing w:before="156" w:after="156"/>
      </w:pPr>
      <w:r>
        <w:rPr>
          <w:rFonts w:hint="eastAsia"/>
        </w:rPr>
        <w:t>免疫调节</w:t>
      </w:r>
    </w:p>
    <w:p>
      <w:pPr>
        <w:pStyle w:val="56"/>
        <w:ind w:firstLine="420"/>
      </w:pPr>
      <w:r>
        <w:rPr>
          <w:rFonts w:hint="eastAsia"/>
        </w:rPr>
        <w:t>定期选用中草药复合制剂、微生物制剂等无毒副作用的制剂提高免疫力、增加种鹅对疾病的抵抗力、减少抗生素的应用。</w:t>
      </w:r>
    </w:p>
    <w:p>
      <w:pPr>
        <w:pStyle w:val="65"/>
        <w:spacing w:before="156" w:after="156"/>
      </w:pPr>
      <w:r>
        <w:rPr>
          <w:rFonts w:hint="eastAsia"/>
        </w:rPr>
        <w:t>外界生物的控制</w:t>
      </w:r>
    </w:p>
    <w:p>
      <w:pPr>
        <w:pStyle w:val="56"/>
        <w:ind w:firstLine="420"/>
      </w:pPr>
      <w:r>
        <w:rPr>
          <w:rFonts w:hint="eastAsia"/>
        </w:rPr>
        <w:t>种鹅养殖场内不得饲养其它动物，同时做好灭鼠、驱虫、防鸟工作。</w:t>
      </w:r>
    </w:p>
    <w:p>
      <w:pPr>
        <w:pStyle w:val="104"/>
        <w:spacing w:before="312" w:after="312"/>
      </w:pPr>
      <w:r>
        <w:rPr>
          <w:rFonts w:hint="eastAsia"/>
        </w:rPr>
        <w:t>疫病监测</w:t>
      </w:r>
    </w:p>
    <w:p>
      <w:pPr>
        <w:pStyle w:val="105"/>
        <w:spacing w:before="156" w:after="156"/>
      </w:pPr>
      <w:r>
        <w:rPr>
          <w:rFonts w:hint="eastAsia"/>
        </w:rPr>
        <w:t>重要疫病监测</w:t>
      </w:r>
    </w:p>
    <w:p>
      <w:pPr>
        <w:pStyle w:val="56"/>
        <w:ind w:firstLine="420"/>
      </w:pPr>
      <w:r>
        <w:rPr>
          <w:rFonts w:hint="eastAsia"/>
        </w:rPr>
        <w:t>按照《中华人民共和国动物防疫法》及国家、省有关疫情监测计划的规定，种鹅养殖场应配合动物疫病预防控制部门做好疫病监测工作，同时结合免疫程序、疫病流行情况、疫病发生的季节性特点等制定科学的疫病监测方案，针对种蛋、雏禽、成年禽、种禽四个时期做好疫病监测工作，及时将监测结果报告当地动物疫病预防控制部门。</w:t>
      </w:r>
    </w:p>
    <w:p>
      <w:pPr>
        <w:pStyle w:val="105"/>
        <w:spacing w:before="156" w:after="156"/>
        <w:rPr>
          <w:rFonts w:ascii="宋体" w:eastAsia="宋体"/>
        </w:rPr>
      </w:pPr>
      <w:r>
        <w:rPr>
          <w:rFonts w:hint="eastAsia"/>
        </w:rPr>
        <w:t>报检</w:t>
      </w:r>
    </w:p>
    <w:p>
      <w:pPr>
        <w:pStyle w:val="165"/>
      </w:pPr>
      <w:r>
        <w:rPr>
          <w:rFonts w:hint="eastAsia"/>
        </w:rPr>
        <w:t>出售种鹅前，应向所在地动物卫生监督部门报检，按照农业部令</w:t>
      </w:r>
      <w:r>
        <w:t>2010</w:t>
      </w:r>
      <w:r>
        <w:rPr>
          <w:rFonts w:hint="eastAsia"/>
        </w:rPr>
        <w:t>年第</w:t>
      </w:r>
      <w:r>
        <w:t>6</w:t>
      </w:r>
      <w:r>
        <w:rPr>
          <w:rFonts w:hint="eastAsia"/>
        </w:rPr>
        <w:t>号《动物检疫管理办法》经产地检疫合格后方可出售。</w:t>
      </w:r>
    </w:p>
    <w:p>
      <w:pPr>
        <w:pStyle w:val="165"/>
      </w:pPr>
      <w:r>
        <w:rPr>
          <w:rFonts w:hint="eastAsia"/>
        </w:rPr>
        <w:t>严禁已出场但未售出的种鹅返回原种鹅场饲养。</w:t>
      </w:r>
    </w:p>
    <w:p>
      <w:pPr>
        <w:pStyle w:val="104"/>
        <w:spacing w:before="312" w:after="312"/>
      </w:pPr>
      <w:r>
        <w:rPr>
          <w:rFonts w:hint="eastAsia"/>
        </w:rPr>
        <w:t>风险评估和预警分析</w:t>
      </w:r>
    </w:p>
    <w:p>
      <w:pPr>
        <w:pStyle w:val="162"/>
      </w:pPr>
      <w:r>
        <w:rPr>
          <w:rFonts w:hint="eastAsia"/>
        </w:rPr>
        <w:t>实时关注周边地区种鹅疫情动态，做好规范性记录和疫情风险性分析与应急防控措施。</w:t>
      </w:r>
    </w:p>
    <w:p>
      <w:pPr>
        <w:pStyle w:val="162"/>
      </w:pPr>
      <w:r>
        <w:rPr>
          <w:rFonts w:hint="eastAsia"/>
        </w:rPr>
        <w:t>根据疫情和监测情况定期进行预警分析。</w:t>
      </w:r>
    </w:p>
    <w:p>
      <w:pPr>
        <w:pStyle w:val="162"/>
      </w:pPr>
      <w:r>
        <w:rPr>
          <w:rFonts w:hint="eastAsia"/>
        </w:rPr>
        <w:t>根据病原学和免疫抗体监测结果，及时优化免疫程序并调整相应防控措施。</w:t>
      </w:r>
    </w:p>
    <w:p>
      <w:pPr>
        <w:pStyle w:val="104"/>
        <w:spacing w:before="312" w:after="312"/>
        <w:rPr>
          <w:rFonts w:ascii="宋体" w:eastAsia="宋体"/>
        </w:rPr>
      </w:pPr>
      <w:r>
        <w:rPr>
          <w:rFonts w:hint="eastAsia"/>
        </w:rPr>
        <w:t>种鹅疫病控制和净化</w:t>
      </w:r>
    </w:p>
    <w:p>
      <w:pPr>
        <w:pStyle w:val="105"/>
        <w:spacing w:before="156" w:after="156"/>
      </w:pPr>
      <w:r>
        <w:rPr>
          <w:rFonts w:hint="eastAsia"/>
        </w:rPr>
        <w:t>种鹅疫病控制</w:t>
      </w:r>
    </w:p>
    <w:p>
      <w:pPr>
        <w:pStyle w:val="165"/>
      </w:pPr>
      <w:r>
        <w:rPr>
          <w:rFonts w:hint="eastAsia"/>
        </w:rPr>
        <w:t>严格执行疫情报告制度。</w:t>
      </w:r>
    </w:p>
    <w:p>
      <w:pPr>
        <w:pStyle w:val="165"/>
      </w:pPr>
      <w:r>
        <w:rPr>
          <w:rFonts w:hint="eastAsia"/>
        </w:rPr>
        <w:t>发生异常死亡或疑似重大疫情时应按《中华人民共和国动物防疫法》等相关法律法规的规定报告和处置。</w:t>
      </w:r>
    </w:p>
    <w:p>
      <w:pPr>
        <w:pStyle w:val="165"/>
      </w:pPr>
      <w:r>
        <w:rPr>
          <w:rFonts w:hint="eastAsia"/>
        </w:rPr>
        <w:t>确诊为重大疫病的，按相关疫病控制技术方案进行控制和扑灭。</w:t>
      </w:r>
    </w:p>
    <w:p>
      <w:pPr>
        <w:pStyle w:val="105"/>
        <w:spacing w:before="156" w:after="156"/>
      </w:pPr>
      <w:r>
        <w:rPr>
          <w:rFonts w:hint="eastAsia"/>
        </w:rPr>
        <w:t>种鹅疫病净化</w:t>
      </w:r>
    </w:p>
    <w:p>
      <w:pPr>
        <w:pStyle w:val="165"/>
      </w:pPr>
      <w:r>
        <w:rPr>
          <w:rFonts w:hint="eastAsia"/>
        </w:rPr>
        <w:t>加强生物安全体系建设。</w:t>
      </w:r>
    </w:p>
    <w:p>
      <w:pPr>
        <w:pStyle w:val="165"/>
      </w:pPr>
      <w:r>
        <w:rPr>
          <w:rFonts w:hint="eastAsia"/>
        </w:rPr>
        <w:t>按照国家及本省种鹅疫病净化计划及本场监测结果，制定并实施本场疫病净化方案。</w:t>
      </w:r>
    </w:p>
    <w:p>
      <w:pPr>
        <w:pStyle w:val="104"/>
        <w:spacing w:before="312" w:after="312"/>
        <w:rPr>
          <w:rStyle w:val="230"/>
          <w:rFonts w:hint="eastAsia" w:ascii="黑体" w:hAnsi="黑体" w:eastAsia="黑体" w:cs="黑体"/>
          <w:sz w:val="21"/>
          <w:szCs w:val="21"/>
        </w:rPr>
      </w:pPr>
      <w:r>
        <w:rPr>
          <w:rStyle w:val="230"/>
          <w:rFonts w:hint="eastAsia" w:ascii="黑体" w:hAnsi="黑体" w:eastAsia="黑体" w:cs="黑体"/>
          <w:sz w:val="21"/>
          <w:szCs w:val="21"/>
        </w:rPr>
        <w:t>病死种鹅及废弃物无害化处理</w:t>
      </w:r>
    </w:p>
    <w:p>
      <w:pPr>
        <w:pStyle w:val="162"/>
        <w:rPr>
          <w:rStyle w:val="230"/>
          <w:rFonts w:ascii="Times New Roman"/>
          <w:sz w:val="21"/>
          <w:szCs w:val="21"/>
        </w:rPr>
      </w:pPr>
      <w:r>
        <w:rPr>
          <w:rStyle w:val="230"/>
          <w:rFonts w:hint="eastAsia" w:ascii="Times New Roman"/>
          <w:sz w:val="21"/>
          <w:szCs w:val="21"/>
        </w:rPr>
        <w:t>病死、扑杀以及净化淘汰的种鹅应严格按</w:t>
      </w:r>
      <w:r>
        <w:rPr>
          <w:rStyle w:val="230"/>
          <w:rFonts w:ascii="Times New Roman"/>
          <w:sz w:val="21"/>
          <w:szCs w:val="21"/>
        </w:rPr>
        <w:t xml:space="preserve"> GB 16548 </w:t>
      </w:r>
      <w:r>
        <w:rPr>
          <w:rStyle w:val="230"/>
          <w:rFonts w:hint="eastAsia" w:ascii="Times New Roman"/>
          <w:sz w:val="21"/>
          <w:szCs w:val="21"/>
        </w:rPr>
        <w:t>和中华人民共和国农业部农医发〔</w:t>
      </w:r>
      <w:r>
        <w:rPr>
          <w:rStyle w:val="230"/>
          <w:rFonts w:ascii="Times New Roman"/>
          <w:sz w:val="21"/>
          <w:szCs w:val="21"/>
        </w:rPr>
        <w:t>2017</w:t>
      </w:r>
      <w:r>
        <w:rPr>
          <w:rStyle w:val="230"/>
          <w:rFonts w:hint="eastAsia" w:ascii="Times New Roman"/>
          <w:sz w:val="21"/>
          <w:szCs w:val="21"/>
        </w:rPr>
        <w:t>〕第</w:t>
      </w:r>
      <w:r>
        <w:rPr>
          <w:rStyle w:val="230"/>
          <w:rFonts w:ascii="Times New Roman"/>
          <w:sz w:val="21"/>
          <w:szCs w:val="21"/>
        </w:rPr>
        <w:t xml:space="preserve"> 25</w:t>
      </w:r>
      <w:r>
        <w:rPr>
          <w:rStyle w:val="230"/>
          <w:rFonts w:hint="eastAsia" w:ascii="Times New Roman"/>
          <w:sz w:val="21"/>
          <w:szCs w:val="21"/>
        </w:rPr>
        <w:t>号的要求进行焚烧、化尸或深埋等无害化处理或按地方政府规定交由专业无害化处理企业（公司）统一收集处理。</w:t>
      </w:r>
    </w:p>
    <w:p>
      <w:pPr>
        <w:pStyle w:val="162"/>
        <w:rPr>
          <w:rStyle w:val="230"/>
          <w:rFonts w:ascii="Times New Roman"/>
          <w:sz w:val="21"/>
          <w:szCs w:val="21"/>
        </w:rPr>
      </w:pPr>
      <w:r>
        <w:rPr>
          <w:rStyle w:val="230"/>
          <w:rFonts w:hint="eastAsia" w:ascii="Times New Roman"/>
          <w:sz w:val="21"/>
          <w:szCs w:val="21"/>
        </w:rPr>
        <w:t>种鹅场应配置粪便和污水的无害化处理设施和建立无害化处理规程，应严格按照</w:t>
      </w:r>
      <w:r>
        <w:rPr>
          <w:rStyle w:val="230"/>
          <w:rFonts w:ascii="Times New Roman"/>
          <w:sz w:val="21"/>
          <w:szCs w:val="21"/>
        </w:rPr>
        <w:t>GB/T 36195</w:t>
      </w:r>
      <w:r>
        <w:rPr>
          <w:rStyle w:val="230"/>
          <w:rFonts w:hint="eastAsia" w:ascii="Times New Roman"/>
          <w:sz w:val="21"/>
          <w:szCs w:val="21"/>
        </w:rPr>
        <w:t>的要求处理饲养过程中产生的废弃物。</w:t>
      </w:r>
    </w:p>
    <w:p>
      <w:pPr>
        <w:pStyle w:val="104"/>
        <w:spacing w:before="312" w:after="312"/>
        <w:rPr>
          <w:rStyle w:val="230"/>
          <w:rFonts w:ascii="Times New Roman"/>
          <w:sz w:val="21"/>
          <w:szCs w:val="21"/>
        </w:rPr>
      </w:pPr>
      <w:r>
        <w:rPr>
          <w:rStyle w:val="230"/>
          <w:rFonts w:hint="eastAsia" w:ascii="Times New Roman" w:hAnsi="Times New Roman" w:eastAsia="黑体"/>
          <w:sz w:val="21"/>
          <w:szCs w:val="21"/>
        </w:rPr>
        <w:t>标识和档案追溯管理</w:t>
      </w:r>
    </w:p>
    <w:p>
      <w:pPr>
        <w:pStyle w:val="162"/>
        <w:rPr>
          <w:rStyle w:val="230"/>
          <w:rFonts w:ascii="Times New Roman"/>
          <w:sz w:val="21"/>
          <w:szCs w:val="21"/>
        </w:rPr>
      </w:pPr>
      <w:r>
        <w:rPr>
          <w:rStyle w:val="230"/>
          <w:rFonts w:hint="eastAsia" w:ascii="Times New Roman"/>
          <w:sz w:val="21"/>
          <w:szCs w:val="21"/>
        </w:rPr>
        <w:t>种鹅场应按照中华人民共和国农业部令（</w:t>
      </w:r>
      <w:r>
        <w:rPr>
          <w:rStyle w:val="230"/>
          <w:rFonts w:ascii="Times New Roman"/>
          <w:sz w:val="21"/>
          <w:szCs w:val="21"/>
        </w:rPr>
        <w:t>2006</w:t>
      </w:r>
      <w:r>
        <w:rPr>
          <w:rStyle w:val="230"/>
          <w:rFonts w:hint="eastAsia" w:ascii="Times New Roman"/>
          <w:sz w:val="21"/>
          <w:szCs w:val="21"/>
        </w:rPr>
        <w:t>）第</w:t>
      </w:r>
      <w:r>
        <w:rPr>
          <w:rStyle w:val="230"/>
          <w:rFonts w:ascii="Times New Roman"/>
          <w:sz w:val="21"/>
          <w:szCs w:val="21"/>
        </w:rPr>
        <w:t>67</w:t>
      </w:r>
      <w:r>
        <w:rPr>
          <w:rStyle w:val="230"/>
          <w:rFonts w:hint="eastAsia" w:ascii="Times New Roman"/>
          <w:sz w:val="21"/>
          <w:szCs w:val="21"/>
        </w:rPr>
        <w:t>号规定对种鹅进行标识，并建立养殖档案。</w:t>
      </w:r>
    </w:p>
    <w:p>
      <w:pPr>
        <w:pStyle w:val="162"/>
        <w:rPr>
          <w:rStyle w:val="230"/>
          <w:rFonts w:ascii="Times New Roman"/>
          <w:sz w:val="21"/>
          <w:szCs w:val="21"/>
        </w:rPr>
      </w:pPr>
      <w:r>
        <w:rPr>
          <w:rStyle w:val="230"/>
          <w:rFonts w:hint="eastAsia" w:ascii="Times New Roman"/>
          <w:sz w:val="21"/>
          <w:szCs w:val="21"/>
        </w:rPr>
        <w:t>应及时记录并保存每批饲养种鹅群的防疫档案，档案内容包括：种群的来源及去向、免疫接种信息（疫苗种类、生产厂家、生产批号和免疫人员等）、日常消毒情况、监测抽样情况、发病情况、用药情况、治疗情况及结果、死亡原因及死亡率、无害化处理情况等。</w:t>
      </w:r>
    </w:p>
    <w:p>
      <w:pPr>
        <w:pStyle w:val="162"/>
        <w:rPr>
          <w:rStyle w:val="230"/>
          <w:rFonts w:ascii="Times New Roman"/>
          <w:sz w:val="21"/>
          <w:szCs w:val="21"/>
        </w:rPr>
      </w:pPr>
      <w:r>
        <w:rPr>
          <w:rStyle w:val="230"/>
          <w:rFonts w:hint="eastAsia" w:ascii="Times New Roman"/>
          <w:sz w:val="21"/>
          <w:szCs w:val="21"/>
        </w:rPr>
        <w:t>所有记录档案应有相关生产负责人员签字并妥善保管，至少应在清群后保存</w:t>
      </w:r>
      <w:r>
        <w:rPr>
          <w:rStyle w:val="230"/>
          <w:rFonts w:ascii="Times New Roman"/>
          <w:sz w:val="21"/>
          <w:szCs w:val="21"/>
        </w:rPr>
        <w:t>2</w:t>
      </w:r>
      <w:r>
        <w:rPr>
          <w:rStyle w:val="230"/>
          <w:rFonts w:hint="eastAsia" w:ascii="Times New Roman"/>
          <w:sz w:val="21"/>
          <w:szCs w:val="21"/>
        </w:rPr>
        <w:t>年以上。</w:t>
      </w:r>
    </w:p>
    <w:p>
      <w:pPr>
        <w:pStyle w:val="104"/>
        <w:spacing w:before="312" w:after="312"/>
        <w:rPr>
          <w:rStyle w:val="230"/>
          <w:rFonts w:ascii="黑体" w:hAnsi="黑体" w:eastAsia="黑体"/>
          <w:sz w:val="21"/>
          <w:szCs w:val="21"/>
        </w:rPr>
      </w:pPr>
      <w:r>
        <w:rPr>
          <w:rStyle w:val="230"/>
          <w:rFonts w:hint="eastAsia" w:ascii="黑体" w:hAnsi="黑体" w:eastAsia="黑体"/>
          <w:sz w:val="21"/>
          <w:szCs w:val="21"/>
        </w:rPr>
        <w:t>药物使用</w:t>
      </w:r>
    </w:p>
    <w:p>
      <w:pPr>
        <w:pStyle w:val="162"/>
        <w:rPr>
          <w:rStyle w:val="230"/>
          <w:rFonts w:ascii="Times New Roman"/>
          <w:sz w:val="21"/>
          <w:szCs w:val="21"/>
        </w:rPr>
      </w:pPr>
      <w:r>
        <w:rPr>
          <w:rStyle w:val="230"/>
          <w:rFonts w:hint="eastAsia" w:ascii="Times New Roman"/>
          <w:sz w:val="21"/>
          <w:szCs w:val="21"/>
        </w:rPr>
        <w:t>使用兽药应符合《兽药管理条例》（</w:t>
      </w:r>
      <w:r>
        <w:rPr>
          <w:rStyle w:val="230"/>
          <w:rFonts w:ascii="Times New Roman"/>
          <w:sz w:val="21"/>
          <w:szCs w:val="21"/>
        </w:rPr>
        <w:t>2020</w:t>
      </w:r>
      <w:r>
        <w:rPr>
          <w:rStyle w:val="230"/>
          <w:rFonts w:hint="eastAsia" w:ascii="Times New Roman"/>
          <w:sz w:val="21"/>
          <w:szCs w:val="21"/>
        </w:rPr>
        <w:t>年国务院令第</w:t>
      </w:r>
      <w:r>
        <w:rPr>
          <w:rStyle w:val="230"/>
          <w:rFonts w:ascii="Times New Roman"/>
          <w:sz w:val="21"/>
          <w:szCs w:val="21"/>
        </w:rPr>
        <w:t>726</w:t>
      </w:r>
      <w:r>
        <w:rPr>
          <w:rStyle w:val="230"/>
          <w:rFonts w:hint="eastAsia" w:ascii="Times New Roman"/>
          <w:sz w:val="21"/>
          <w:szCs w:val="21"/>
        </w:rPr>
        <w:t>号）的规定。</w:t>
      </w:r>
    </w:p>
    <w:p>
      <w:pPr>
        <w:pStyle w:val="162"/>
        <w:rPr>
          <w:rStyle w:val="230"/>
          <w:rFonts w:ascii="Times New Roman"/>
          <w:sz w:val="21"/>
          <w:szCs w:val="21"/>
        </w:rPr>
      </w:pPr>
      <w:r>
        <w:rPr>
          <w:rStyle w:val="230"/>
          <w:rFonts w:hint="eastAsia" w:ascii="Times New Roman"/>
          <w:sz w:val="21"/>
          <w:szCs w:val="21"/>
        </w:rPr>
        <w:t>应按《中华人民共和国兽药典》、</w:t>
      </w:r>
      <w:r>
        <w:rPr>
          <w:rStyle w:val="230"/>
          <w:rFonts w:ascii="Times New Roman"/>
          <w:sz w:val="21"/>
          <w:szCs w:val="21"/>
        </w:rPr>
        <w:t>GB 31650</w:t>
      </w:r>
      <w:r>
        <w:rPr>
          <w:rStyle w:val="230"/>
          <w:rFonts w:hint="eastAsia" w:ascii="Times New Roman"/>
          <w:sz w:val="21"/>
          <w:szCs w:val="21"/>
        </w:rPr>
        <w:t>、</w:t>
      </w:r>
      <w:r>
        <w:rPr>
          <w:rStyle w:val="230"/>
          <w:rFonts w:ascii="Times New Roman"/>
          <w:sz w:val="21"/>
          <w:szCs w:val="21"/>
        </w:rPr>
        <w:t>“</w:t>
      </w:r>
      <w:r>
        <w:rPr>
          <w:rStyle w:val="230"/>
          <w:rFonts w:hint="eastAsia" w:ascii="Times New Roman"/>
          <w:sz w:val="21"/>
          <w:szCs w:val="21"/>
        </w:rPr>
        <w:t>兽药说明书</w:t>
      </w:r>
      <w:r>
        <w:rPr>
          <w:rStyle w:val="230"/>
          <w:rFonts w:ascii="Times New Roman"/>
          <w:sz w:val="21"/>
          <w:szCs w:val="21"/>
        </w:rPr>
        <w:t>”</w:t>
      </w:r>
      <w:r>
        <w:rPr>
          <w:rStyle w:val="230"/>
          <w:rFonts w:hint="eastAsia" w:ascii="Times New Roman"/>
          <w:sz w:val="21"/>
          <w:szCs w:val="21"/>
        </w:rPr>
        <w:t>的规定使用兽药。</w:t>
      </w:r>
    </w:p>
    <w:p>
      <w:pPr>
        <w:pStyle w:val="162"/>
      </w:pPr>
      <w:r>
        <w:rPr>
          <w:rStyle w:val="230"/>
          <w:rFonts w:hint="eastAsia" w:ascii="Times New Roman"/>
          <w:sz w:val="21"/>
          <w:szCs w:val="21"/>
        </w:rPr>
        <w:t>提倡养殖端不用或减量使用抗生素，</w:t>
      </w:r>
      <w:r>
        <w:rPr>
          <w:rStyle w:val="230"/>
          <w:rFonts w:hint="eastAsia" w:ascii="Times New Roman"/>
          <w:color w:val="auto"/>
          <w:sz w:val="21"/>
          <w:szCs w:val="21"/>
          <w:lang w:val="en-US" w:eastAsia="zh-CN"/>
        </w:rPr>
        <w:t>如使用抗生素应符合国家对抗生素用量及含量的规定。提倡</w:t>
      </w:r>
      <w:r>
        <w:rPr>
          <w:rStyle w:val="230"/>
          <w:rFonts w:hint="eastAsia" w:ascii="Times New Roman"/>
          <w:sz w:val="21"/>
          <w:szCs w:val="21"/>
        </w:rPr>
        <w:t>使用具有抗病毒、抗菌功效的天然植物源药物、中兽药和微生态制剂替代抗生素。</w:t>
      </w: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2"/>
    <w:p>
      <w:pPr>
        <w:pStyle w:val="198"/>
        <w:rPr>
          <w:vanish w:val="0"/>
        </w:rPr>
      </w:pPr>
      <w:bookmarkStart w:id="44" w:name="BookMark5"/>
    </w:p>
    <w:p>
      <w:pPr>
        <w:pStyle w:val="199"/>
        <w:rPr>
          <w:vanish w:val="0"/>
        </w:rPr>
      </w:pPr>
    </w:p>
    <w:p>
      <w:pPr>
        <w:adjustRightInd w:val="0"/>
        <w:snapToGrid w:val="0"/>
        <w:spacing w:line="520" w:lineRule="exact"/>
        <w:jc w:val="center"/>
        <w:rPr>
          <w:rFonts w:ascii="Times New Roman" w:hAnsi="Times New Roman" w:eastAsia="黑体"/>
          <w:bCs/>
          <w:color w:val="auto"/>
          <w:szCs w:val="21"/>
        </w:rPr>
      </w:pPr>
      <w:r>
        <w:rPr>
          <w:rFonts w:hint="eastAsia" w:ascii="Times New Roman" w:hAnsi="黑体" w:eastAsia="黑体"/>
          <w:bCs/>
          <w:color w:val="auto"/>
          <w:szCs w:val="21"/>
        </w:rPr>
        <w:t>附</w:t>
      </w:r>
      <w:r>
        <w:rPr>
          <w:rFonts w:ascii="Times New Roman" w:hAnsi="Times New Roman" w:eastAsia="黑体"/>
          <w:bCs/>
          <w:color w:val="auto"/>
          <w:szCs w:val="21"/>
        </w:rPr>
        <w:t xml:space="preserve">  </w:t>
      </w:r>
      <w:r>
        <w:rPr>
          <w:rFonts w:hint="eastAsia" w:ascii="Times New Roman" w:hAnsi="黑体" w:eastAsia="黑体"/>
          <w:bCs/>
          <w:color w:val="auto"/>
          <w:szCs w:val="21"/>
        </w:rPr>
        <w:t>录</w:t>
      </w:r>
      <w:r>
        <w:rPr>
          <w:rFonts w:ascii="Times New Roman" w:hAnsi="Times New Roman" w:eastAsia="黑体"/>
          <w:bCs/>
          <w:color w:val="auto"/>
          <w:szCs w:val="21"/>
        </w:rPr>
        <w:t xml:space="preserve">  A</w:t>
      </w:r>
    </w:p>
    <w:p>
      <w:pPr>
        <w:adjustRightInd w:val="0"/>
        <w:snapToGrid w:val="0"/>
        <w:spacing w:line="520" w:lineRule="exact"/>
        <w:jc w:val="center"/>
        <w:rPr>
          <w:rFonts w:ascii="Times New Roman" w:hAnsi="Times New Roman" w:eastAsia="黑体"/>
          <w:bCs/>
          <w:color w:val="auto"/>
          <w:szCs w:val="21"/>
        </w:rPr>
      </w:pPr>
      <w:r>
        <w:rPr>
          <w:rFonts w:ascii="Times New Roman" w:hAnsi="Times New Roman" w:eastAsia="黑体"/>
          <w:bCs/>
          <w:color w:val="auto"/>
          <w:szCs w:val="21"/>
        </w:rPr>
        <w:t>(</w:t>
      </w:r>
      <w:r>
        <w:rPr>
          <w:rFonts w:hint="eastAsia" w:ascii="Times New Roman" w:hAnsi="黑体" w:eastAsia="黑体"/>
          <w:bCs/>
          <w:color w:val="auto"/>
          <w:szCs w:val="21"/>
        </w:rPr>
        <w:t>资料性</w:t>
      </w:r>
      <w:r>
        <w:rPr>
          <w:rFonts w:ascii="Times New Roman" w:hAnsi="Times New Roman" w:eastAsia="黑体"/>
          <w:bCs/>
          <w:color w:val="auto"/>
          <w:szCs w:val="21"/>
        </w:rPr>
        <w:t>)</w:t>
      </w:r>
    </w:p>
    <w:p>
      <w:pPr>
        <w:adjustRightInd w:val="0"/>
        <w:snapToGrid w:val="0"/>
        <w:spacing w:line="520" w:lineRule="exact"/>
        <w:ind w:firstLine="420" w:firstLineChars="200"/>
        <w:jc w:val="center"/>
        <w:rPr>
          <w:rFonts w:ascii="Times New Roman" w:hAnsi="Times New Roman" w:eastAsia="黑体"/>
          <w:color w:val="auto"/>
          <w:szCs w:val="21"/>
        </w:rPr>
      </w:pPr>
      <w:r>
        <w:rPr>
          <w:rFonts w:hint="eastAsia" w:ascii="Times New Roman" w:hAnsi="黑体" w:eastAsia="黑体"/>
          <w:color w:val="auto"/>
          <w:szCs w:val="21"/>
          <w:lang w:eastAsia="zh-CN"/>
        </w:rPr>
        <w:t>种鹅</w:t>
      </w:r>
      <w:r>
        <w:rPr>
          <w:rFonts w:hint="eastAsia" w:ascii="Times New Roman" w:hAnsi="黑体" w:eastAsia="黑体"/>
          <w:color w:val="auto"/>
          <w:szCs w:val="21"/>
        </w:rPr>
        <w:t>免疫参考程序</w:t>
      </w:r>
    </w:p>
    <w:p>
      <w:pPr>
        <w:pStyle w:val="56"/>
        <w:rPr>
          <w:rFonts w:hint="eastAsia"/>
        </w:rPr>
      </w:pPr>
    </w:p>
    <w:tbl>
      <w:tblPr>
        <w:tblStyle w:val="26"/>
        <w:tblW w:w="8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2"/>
        <w:gridCol w:w="3773"/>
        <w:gridCol w:w="1258"/>
        <w:gridCol w:w="2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82" w:type="dxa"/>
            <w:noWrap/>
            <w:vAlign w:val="center"/>
          </w:tcPr>
          <w:p>
            <w:pPr>
              <w:widowControl/>
              <w:jc w:val="center"/>
              <w:rPr>
                <w:rFonts w:ascii="Times New Roman" w:hAnsi="Times New Roman"/>
                <w:b/>
                <w:bCs/>
                <w:kern w:val="0"/>
              </w:rPr>
            </w:pPr>
            <w:r>
              <w:rPr>
                <w:rFonts w:hint="eastAsia" w:ascii="Times New Roman" w:hAnsi="Times New Roman"/>
                <w:b/>
                <w:bCs/>
                <w:kern w:val="0"/>
              </w:rPr>
              <w:t>接种日龄</w:t>
            </w:r>
          </w:p>
        </w:tc>
        <w:tc>
          <w:tcPr>
            <w:tcW w:w="3773" w:type="dxa"/>
            <w:noWrap/>
            <w:vAlign w:val="center"/>
          </w:tcPr>
          <w:p>
            <w:pPr>
              <w:widowControl/>
              <w:jc w:val="center"/>
              <w:rPr>
                <w:rFonts w:ascii="Times New Roman" w:hAnsi="Times New Roman"/>
                <w:b/>
                <w:bCs/>
                <w:kern w:val="0"/>
              </w:rPr>
            </w:pPr>
            <w:r>
              <w:rPr>
                <w:rFonts w:hint="eastAsia" w:ascii="Times New Roman" w:hAnsi="Times New Roman"/>
                <w:b/>
                <w:bCs/>
                <w:kern w:val="0"/>
              </w:rPr>
              <w:t>疫苗（抗体）</w:t>
            </w:r>
          </w:p>
        </w:tc>
        <w:tc>
          <w:tcPr>
            <w:tcW w:w="1258" w:type="dxa"/>
            <w:noWrap/>
            <w:vAlign w:val="center"/>
          </w:tcPr>
          <w:p>
            <w:pPr>
              <w:widowControl/>
              <w:jc w:val="center"/>
              <w:rPr>
                <w:rFonts w:ascii="Times New Roman" w:hAnsi="Times New Roman"/>
                <w:b/>
                <w:bCs/>
                <w:kern w:val="0"/>
              </w:rPr>
            </w:pPr>
            <w:r>
              <w:rPr>
                <w:rFonts w:hint="eastAsia" w:ascii="Times New Roman" w:hAnsi="Times New Roman"/>
                <w:b/>
                <w:bCs/>
                <w:kern w:val="0"/>
              </w:rPr>
              <w:t>免疫途径</w:t>
            </w:r>
          </w:p>
        </w:tc>
        <w:tc>
          <w:tcPr>
            <w:tcW w:w="2185" w:type="dxa"/>
            <w:vAlign w:val="center"/>
          </w:tcPr>
          <w:p>
            <w:pPr>
              <w:widowControl/>
              <w:jc w:val="center"/>
              <w:rPr>
                <w:rFonts w:ascii="Times New Roman" w:hAnsi="Times New Roman"/>
                <w:b/>
                <w:bCs/>
                <w:kern w:val="0"/>
              </w:rPr>
            </w:pPr>
            <w:r>
              <w:rPr>
                <w:rFonts w:hint="eastAsia" w:ascii="Times New Roman" w:hAnsi="Times New Roman"/>
                <w:b/>
                <w:bCs/>
                <w:kern w:val="0"/>
              </w:rPr>
              <w:t>接种剂量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82" w:type="dxa"/>
            <w:noWrap/>
            <w:vAlign w:val="center"/>
          </w:tcPr>
          <w:p>
            <w:pPr>
              <w:widowControl/>
              <w:jc w:val="center"/>
              <w:rPr>
                <w:rFonts w:ascii="Times New Roman" w:hAnsi="Times New Roman"/>
                <w:kern w:val="0"/>
              </w:rPr>
            </w:pPr>
            <w:r>
              <w:rPr>
                <w:rFonts w:ascii="Times New Roman" w:hAnsi="Times New Roman"/>
                <w:kern w:val="0"/>
              </w:rPr>
              <w:t>1</w:t>
            </w:r>
          </w:p>
        </w:tc>
        <w:tc>
          <w:tcPr>
            <w:tcW w:w="3773" w:type="dxa"/>
            <w:noWrap/>
            <w:vAlign w:val="center"/>
          </w:tcPr>
          <w:p>
            <w:pPr>
              <w:widowControl/>
              <w:rPr>
                <w:rFonts w:ascii="Times New Roman" w:hAnsi="Times New Roman"/>
                <w:kern w:val="0"/>
              </w:rPr>
            </w:pPr>
            <w:r>
              <w:rPr>
                <w:rFonts w:hint="eastAsia" w:ascii="Times New Roman" w:hAnsi="Times New Roman"/>
                <w:kern w:val="0"/>
              </w:rPr>
              <w:t>小鹅瘟抗体</w:t>
            </w:r>
          </w:p>
        </w:tc>
        <w:tc>
          <w:tcPr>
            <w:tcW w:w="1258" w:type="dxa"/>
            <w:noWrap/>
            <w:vAlign w:val="center"/>
          </w:tcPr>
          <w:p>
            <w:pPr>
              <w:widowControl/>
              <w:jc w:val="center"/>
              <w:rPr>
                <w:rFonts w:ascii="Times New Roman" w:hAnsi="Times New Roman"/>
                <w:kern w:val="0"/>
              </w:rPr>
            </w:pPr>
            <w:r>
              <w:rPr>
                <w:rFonts w:hint="eastAsia" w:ascii="Times New Roman" w:hAnsi="Times New Roman"/>
                <w:kern w:val="0"/>
              </w:rPr>
              <w:t>颈部皮下</w:t>
            </w:r>
          </w:p>
        </w:tc>
        <w:tc>
          <w:tcPr>
            <w:tcW w:w="2185" w:type="dxa"/>
            <w:vAlign w:val="center"/>
          </w:tcPr>
          <w:p>
            <w:pPr>
              <w:widowControl/>
              <w:jc w:val="center"/>
              <w:rPr>
                <w:rFonts w:ascii="Times New Roman" w:hAnsi="Times New Roman"/>
                <w:kern w:val="0"/>
              </w:rPr>
            </w:pPr>
            <w:r>
              <w:rPr>
                <w:rFonts w:hint="eastAsia" w:ascii="Times New Roman" w:hAnsi="Times New Roman"/>
              </w:rPr>
              <w:t>按照使用说明书执行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82" w:type="dxa"/>
            <w:noWrap/>
            <w:vAlign w:val="center"/>
          </w:tcPr>
          <w:p>
            <w:pPr>
              <w:widowControl/>
              <w:jc w:val="center"/>
              <w:rPr>
                <w:rFonts w:ascii="Times New Roman" w:hAnsi="Times New Roman"/>
                <w:kern w:val="0"/>
              </w:rPr>
            </w:pPr>
            <w:r>
              <w:rPr>
                <w:rFonts w:ascii="Times New Roman" w:hAnsi="Times New Roman"/>
                <w:kern w:val="0"/>
              </w:rPr>
              <w:t>6</w:t>
            </w:r>
          </w:p>
        </w:tc>
        <w:tc>
          <w:tcPr>
            <w:tcW w:w="3773" w:type="dxa"/>
            <w:noWrap/>
            <w:vAlign w:val="center"/>
          </w:tcPr>
          <w:p>
            <w:pPr>
              <w:widowControl/>
              <w:rPr>
                <w:rFonts w:ascii="Times New Roman" w:hAnsi="Times New Roman"/>
                <w:kern w:val="0"/>
              </w:rPr>
            </w:pPr>
            <w:r>
              <w:rPr>
                <w:rFonts w:hint="eastAsia" w:ascii="Times New Roman" w:hAnsi="Times New Roman"/>
                <w:kern w:val="0"/>
              </w:rPr>
              <w:t>小鹅瘟抗体</w:t>
            </w:r>
          </w:p>
        </w:tc>
        <w:tc>
          <w:tcPr>
            <w:tcW w:w="1258" w:type="dxa"/>
            <w:noWrap/>
            <w:vAlign w:val="center"/>
          </w:tcPr>
          <w:p>
            <w:pPr>
              <w:widowControl/>
              <w:jc w:val="center"/>
              <w:rPr>
                <w:rFonts w:ascii="Times New Roman" w:hAnsi="Times New Roman"/>
                <w:kern w:val="0"/>
              </w:rPr>
            </w:pPr>
            <w:r>
              <w:rPr>
                <w:rFonts w:hint="eastAsia" w:ascii="Times New Roman" w:hAnsi="Times New Roman"/>
                <w:kern w:val="0"/>
              </w:rPr>
              <w:t>颈部皮下</w:t>
            </w:r>
          </w:p>
        </w:tc>
        <w:tc>
          <w:tcPr>
            <w:tcW w:w="2185" w:type="dxa"/>
            <w:vAlign w:val="center"/>
          </w:tcPr>
          <w:p>
            <w:pPr>
              <w:widowControl/>
              <w:jc w:val="center"/>
              <w:rPr>
                <w:rFonts w:ascii="Times New Roman" w:hAnsi="Times New Roman"/>
                <w:kern w:val="0"/>
              </w:rPr>
            </w:pPr>
            <w:r>
              <w:rPr>
                <w:rFonts w:hint="eastAsia" w:ascii="Times New Roman" w:hAnsi="Times New Roman"/>
              </w:rPr>
              <w:t>按照使用说明书执行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82" w:type="dxa"/>
            <w:noWrap/>
            <w:vAlign w:val="center"/>
          </w:tcPr>
          <w:p>
            <w:pPr>
              <w:widowControl/>
              <w:jc w:val="center"/>
              <w:rPr>
                <w:rFonts w:ascii="Times New Roman" w:hAnsi="Times New Roman"/>
                <w:bCs/>
                <w:kern w:val="0"/>
              </w:rPr>
            </w:pPr>
            <w:r>
              <w:rPr>
                <w:rFonts w:ascii="Times New Roman" w:hAnsi="Times New Roman"/>
                <w:bCs/>
                <w:kern w:val="0"/>
              </w:rPr>
              <w:t>10</w:t>
            </w:r>
          </w:p>
        </w:tc>
        <w:tc>
          <w:tcPr>
            <w:tcW w:w="3773" w:type="dxa"/>
            <w:noWrap/>
            <w:vAlign w:val="center"/>
          </w:tcPr>
          <w:p>
            <w:pPr>
              <w:widowControl/>
              <w:rPr>
                <w:rFonts w:ascii="Times New Roman" w:hAnsi="Times New Roman"/>
                <w:kern w:val="0"/>
              </w:rPr>
            </w:pPr>
            <w:r>
              <w:rPr>
                <w:rFonts w:ascii="Times New Roman" w:hAnsi="Times New Roman"/>
                <w:kern w:val="0"/>
              </w:rPr>
              <w:t>H5</w:t>
            </w:r>
            <w:r>
              <w:rPr>
                <w:rFonts w:hint="eastAsia" w:ascii="Times New Roman" w:hAnsi="Times New Roman"/>
                <w:kern w:val="0"/>
              </w:rPr>
              <w:t>亚型</w:t>
            </w:r>
            <w:r>
              <w:rPr>
                <w:rFonts w:ascii="Times New Roman" w:hAnsi="Times New Roman"/>
                <w:kern w:val="0"/>
              </w:rPr>
              <w:t>+H7</w:t>
            </w:r>
            <w:r>
              <w:rPr>
                <w:rFonts w:hint="eastAsia" w:ascii="Times New Roman" w:hAnsi="Times New Roman"/>
                <w:kern w:val="0"/>
              </w:rPr>
              <w:t>亚型禽流感三价灭活疫苗</w:t>
            </w:r>
          </w:p>
        </w:tc>
        <w:tc>
          <w:tcPr>
            <w:tcW w:w="1258" w:type="dxa"/>
            <w:noWrap/>
            <w:vAlign w:val="center"/>
          </w:tcPr>
          <w:p>
            <w:pPr>
              <w:widowControl/>
              <w:jc w:val="center"/>
              <w:rPr>
                <w:rFonts w:ascii="Times New Roman" w:hAnsi="Times New Roman"/>
                <w:kern w:val="0"/>
              </w:rPr>
            </w:pPr>
            <w:r>
              <w:rPr>
                <w:rFonts w:hint="eastAsia" w:ascii="Times New Roman" w:hAnsi="Times New Roman"/>
                <w:kern w:val="0"/>
              </w:rPr>
              <w:t>颈部皮下</w:t>
            </w:r>
          </w:p>
        </w:tc>
        <w:tc>
          <w:tcPr>
            <w:tcW w:w="2185" w:type="dxa"/>
            <w:vAlign w:val="center"/>
          </w:tcPr>
          <w:p>
            <w:pPr>
              <w:widowControl/>
              <w:jc w:val="center"/>
              <w:rPr>
                <w:rFonts w:ascii="Times New Roman" w:hAnsi="Times New Roman"/>
                <w:kern w:val="0"/>
              </w:rPr>
            </w:pPr>
            <w:r>
              <w:rPr>
                <w:rFonts w:hint="eastAsia" w:ascii="Times New Roman" w:hAnsi="Times New Roman"/>
              </w:rPr>
              <w:t>按照使用说明书执行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82" w:type="dxa"/>
            <w:noWrap/>
            <w:vAlign w:val="center"/>
          </w:tcPr>
          <w:p>
            <w:pPr>
              <w:widowControl/>
              <w:jc w:val="center"/>
              <w:rPr>
                <w:rFonts w:ascii="Times New Roman" w:hAnsi="Times New Roman"/>
                <w:kern w:val="0"/>
              </w:rPr>
            </w:pPr>
            <w:r>
              <w:rPr>
                <w:rFonts w:ascii="Times New Roman" w:hAnsi="Times New Roman"/>
                <w:kern w:val="0"/>
              </w:rPr>
              <w:t>14</w:t>
            </w:r>
          </w:p>
        </w:tc>
        <w:tc>
          <w:tcPr>
            <w:tcW w:w="3773" w:type="dxa"/>
            <w:noWrap/>
            <w:vAlign w:val="center"/>
          </w:tcPr>
          <w:p>
            <w:pPr>
              <w:widowControl/>
              <w:rPr>
                <w:rFonts w:ascii="Times New Roman" w:hAnsi="Times New Roman"/>
                <w:kern w:val="0"/>
              </w:rPr>
            </w:pPr>
            <w:r>
              <w:rPr>
                <w:rFonts w:hint="eastAsia" w:ascii="Times New Roman" w:hAnsi="Times New Roman"/>
                <w:kern w:val="0"/>
              </w:rPr>
              <w:t>新流二联（</w:t>
            </w:r>
            <w:r>
              <w:rPr>
                <w:rFonts w:ascii="Times New Roman" w:hAnsi="Times New Roman"/>
                <w:kern w:val="0"/>
              </w:rPr>
              <w:t>VII+H9</w:t>
            </w:r>
            <w:r>
              <w:rPr>
                <w:rFonts w:hint="eastAsia" w:ascii="Times New Roman" w:hAnsi="Times New Roman"/>
                <w:kern w:val="0"/>
              </w:rPr>
              <w:t>）</w:t>
            </w:r>
          </w:p>
        </w:tc>
        <w:tc>
          <w:tcPr>
            <w:tcW w:w="1258" w:type="dxa"/>
            <w:noWrap/>
            <w:vAlign w:val="center"/>
          </w:tcPr>
          <w:p>
            <w:pPr>
              <w:widowControl/>
              <w:jc w:val="center"/>
              <w:rPr>
                <w:rFonts w:ascii="Times New Roman" w:hAnsi="Times New Roman"/>
                <w:kern w:val="0"/>
              </w:rPr>
            </w:pPr>
            <w:r>
              <w:rPr>
                <w:rFonts w:hint="eastAsia" w:ascii="Times New Roman" w:hAnsi="Times New Roman"/>
                <w:kern w:val="0"/>
              </w:rPr>
              <w:t>颈部皮下</w:t>
            </w:r>
          </w:p>
        </w:tc>
        <w:tc>
          <w:tcPr>
            <w:tcW w:w="2185" w:type="dxa"/>
            <w:vAlign w:val="center"/>
          </w:tcPr>
          <w:p>
            <w:pPr>
              <w:widowControl/>
              <w:jc w:val="center"/>
              <w:rPr>
                <w:rFonts w:ascii="Times New Roman" w:hAnsi="Times New Roman"/>
                <w:kern w:val="0"/>
              </w:rPr>
            </w:pPr>
            <w:r>
              <w:rPr>
                <w:rFonts w:hint="eastAsia" w:ascii="Times New Roman" w:hAnsi="Times New Roman"/>
              </w:rPr>
              <w:t>按照使用说明书执行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82" w:type="dxa"/>
            <w:noWrap/>
            <w:vAlign w:val="center"/>
          </w:tcPr>
          <w:p>
            <w:pPr>
              <w:widowControl/>
              <w:jc w:val="center"/>
              <w:rPr>
                <w:rFonts w:ascii="Times New Roman" w:hAnsi="Times New Roman"/>
                <w:bCs/>
                <w:kern w:val="0"/>
              </w:rPr>
            </w:pPr>
            <w:r>
              <w:rPr>
                <w:rFonts w:ascii="Times New Roman" w:hAnsi="Times New Roman"/>
                <w:bCs/>
                <w:kern w:val="0"/>
              </w:rPr>
              <w:t>30</w:t>
            </w:r>
          </w:p>
        </w:tc>
        <w:tc>
          <w:tcPr>
            <w:tcW w:w="3773" w:type="dxa"/>
            <w:noWrap/>
            <w:vAlign w:val="center"/>
          </w:tcPr>
          <w:p>
            <w:pPr>
              <w:widowControl/>
              <w:rPr>
                <w:rFonts w:ascii="Times New Roman" w:hAnsi="Times New Roman"/>
                <w:kern w:val="0"/>
              </w:rPr>
            </w:pPr>
            <w:r>
              <w:rPr>
                <w:rFonts w:ascii="Times New Roman" w:hAnsi="Times New Roman"/>
              </w:rPr>
              <w:t>H5</w:t>
            </w:r>
            <w:r>
              <w:rPr>
                <w:rFonts w:hint="eastAsia" w:ascii="Times New Roman" w:hAnsi="Times New Roman"/>
              </w:rPr>
              <w:t>亚型</w:t>
            </w:r>
            <w:r>
              <w:rPr>
                <w:rFonts w:ascii="Times New Roman" w:hAnsi="Times New Roman"/>
              </w:rPr>
              <w:t>+H7</w:t>
            </w:r>
            <w:r>
              <w:rPr>
                <w:rFonts w:hint="eastAsia" w:ascii="Times New Roman" w:hAnsi="Times New Roman"/>
              </w:rPr>
              <w:t>亚型禽流感三价灭活疫苗</w:t>
            </w:r>
          </w:p>
        </w:tc>
        <w:tc>
          <w:tcPr>
            <w:tcW w:w="1258" w:type="dxa"/>
            <w:noWrap/>
            <w:vAlign w:val="center"/>
          </w:tcPr>
          <w:p>
            <w:pPr>
              <w:widowControl/>
              <w:jc w:val="center"/>
              <w:rPr>
                <w:rFonts w:ascii="Times New Roman" w:hAnsi="Times New Roman"/>
                <w:kern w:val="0"/>
              </w:rPr>
            </w:pPr>
            <w:r>
              <w:rPr>
                <w:rFonts w:hint="eastAsia" w:ascii="Times New Roman" w:hAnsi="Times New Roman"/>
                <w:kern w:val="0"/>
              </w:rPr>
              <w:t>颈部皮下</w:t>
            </w:r>
          </w:p>
        </w:tc>
        <w:tc>
          <w:tcPr>
            <w:tcW w:w="2185" w:type="dxa"/>
            <w:vAlign w:val="center"/>
          </w:tcPr>
          <w:p>
            <w:pPr>
              <w:widowControl/>
              <w:jc w:val="center"/>
              <w:rPr>
                <w:rFonts w:ascii="Times New Roman" w:hAnsi="Times New Roman"/>
                <w:kern w:val="0"/>
              </w:rPr>
            </w:pPr>
            <w:r>
              <w:rPr>
                <w:rFonts w:hint="eastAsia" w:ascii="Times New Roman" w:hAnsi="Times New Roman"/>
              </w:rPr>
              <w:t>按照使用说明书执行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82" w:type="dxa"/>
            <w:noWrap/>
            <w:vAlign w:val="center"/>
          </w:tcPr>
          <w:p>
            <w:pPr>
              <w:widowControl/>
              <w:jc w:val="center"/>
              <w:rPr>
                <w:rFonts w:ascii="Times New Roman" w:hAnsi="Times New Roman"/>
                <w:kern w:val="0"/>
              </w:rPr>
            </w:pPr>
            <w:r>
              <w:rPr>
                <w:rFonts w:ascii="Times New Roman" w:hAnsi="Times New Roman"/>
                <w:kern w:val="0"/>
              </w:rPr>
              <w:t>70</w:t>
            </w:r>
          </w:p>
        </w:tc>
        <w:tc>
          <w:tcPr>
            <w:tcW w:w="3773" w:type="dxa"/>
            <w:noWrap/>
            <w:vAlign w:val="center"/>
          </w:tcPr>
          <w:p>
            <w:pPr>
              <w:widowControl/>
              <w:rPr>
                <w:rFonts w:ascii="Times New Roman" w:hAnsi="Times New Roman"/>
                <w:kern w:val="0"/>
              </w:rPr>
            </w:pPr>
            <w:r>
              <w:rPr>
                <w:rFonts w:ascii="Times New Roman" w:hAnsi="Times New Roman"/>
              </w:rPr>
              <w:t>H5</w:t>
            </w:r>
            <w:r>
              <w:rPr>
                <w:rFonts w:hint="eastAsia" w:ascii="Times New Roman" w:hAnsi="Times New Roman"/>
              </w:rPr>
              <w:t>亚型</w:t>
            </w:r>
            <w:r>
              <w:rPr>
                <w:rFonts w:ascii="Times New Roman" w:hAnsi="Times New Roman"/>
              </w:rPr>
              <w:t>+H7</w:t>
            </w:r>
            <w:r>
              <w:rPr>
                <w:rFonts w:hint="eastAsia" w:ascii="Times New Roman" w:hAnsi="Times New Roman"/>
              </w:rPr>
              <w:t>亚型禽流感三价灭活疫苗</w:t>
            </w:r>
          </w:p>
        </w:tc>
        <w:tc>
          <w:tcPr>
            <w:tcW w:w="1258" w:type="dxa"/>
            <w:noWrap/>
            <w:vAlign w:val="center"/>
          </w:tcPr>
          <w:p>
            <w:pPr>
              <w:widowControl/>
              <w:jc w:val="center"/>
              <w:rPr>
                <w:rFonts w:ascii="Times New Roman" w:hAnsi="Times New Roman"/>
                <w:kern w:val="0"/>
              </w:rPr>
            </w:pPr>
            <w:r>
              <w:rPr>
                <w:rFonts w:hint="eastAsia" w:ascii="Times New Roman" w:hAnsi="Times New Roman"/>
                <w:kern w:val="0"/>
              </w:rPr>
              <w:t>胸部肌肉</w:t>
            </w:r>
          </w:p>
        </w:tc>
        <w:tc>
          <w:tcPr>
            <w:tcW w:w="2185" w:type="dxa"/>
            <w:vAlign w:val="center"/>
          </w:tcPr>
          <w:p>
            <w:pPr>
              <w:widowControl/>
              <w:jc w:val="center"/>
              <w:rPr>
                <w:rFonts w:ascii="Times New Roman" w:hAnsi="Times New Roman"/>
                <w:kern w:val="0"/>
              </w:rPr>
            </w:pPr>
            <w:r>
              <w:rPr>
                <w:rFonts w:hint="eastAsia" w:ascii="Times New Roman" w:hAnsi="Times New Roman"/>
              </w:rPr>
              <w:t>按照使用说明书执行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82" w:type="dxa"/>
            <w:noWrap/>
            <w:vAlign w:val="center"/>
          </w:tcPr>
          <w:p>
            <w:pPr>
              <w:widowControl/>
              <w:jc w:val="center"/>
              <w:rPr>
                <w:rFonts w:ascii="Times New Roman" w:hAnsi="Times New Roman"/>
                <w:bCs/>
                <w:kern w:val="0"/>
              </w:rPr>
            </w:pPr>
            <w:r>
              <w:rPr>
                <w:rFonts w:ascii="Times New Roman" w:hAnsi="Times New Roman"/>
                <w:bCs/>
                <w:kern w:val="0"/>
              </w:rPr>
              <w:t>170</w:t>
            </w:r>
          </w:p>
        </w:tc>
        <w:tc>
          <w:tcPr>
            <w:tcW w:w="3773" w:type="dxa"/>
            <w:noWrap/>
            <w:vAlign w:val="center"/>
          </w:tcPr>
          <w:p>
            <w:pPr>
              <w:widowControl/>
              <w:rPr>
                <w:rFonts w:ascii="Times New Roman" w:hAnsi="Times New Roman"/>
                <w:kern w:val="0"/>
              </w:rPr>
            </w:pPr>
            <w:r>
              <w:rPr>
                <w:rFonts w:ascii="Times New Roman" w:hAnsi="Times New Roman"/>
              </w:rPr>
              <w:t>H5</w:t>
            </w:r>
            <w:r>
              <w:rPr>
                <w:rFonts w:hint="eastAsia" w:ascii="Times New Roman" w:hAnsi="Times New Roman"/>
              </w:rPr>
              <w:t>亚型</w:t>
            </w:r>
            <w:r>
              <w:rPr>
                <w:rFonts w:ascii="Times New Roman" w:hAnsi="Times New Roman"/>
              </w:rPr>
              <w:t>+H7</w:t>
            </w:r>
            <w:r>
              <w:rPr>
                <w:rFonts w:hint="eastAsia" w:ascii="Times New Roman" w:hAnsi="Times New Roman"/>
              </w:rPr>
              <w:t>亚型禽流感三价灭活疫苗</w:t>
            </w:r>
          </w:p>
        </w:tc>
        <w:tc>
          <w:tcPr>
            <w:tcW w:w="1258" w:type="dxa"/>
            <w:noWrap/>
            <w:vAlign w:val="center"/>
          </w:tcPr>
          <w:p>
            <w:pPr>
              <w:widowControl/>
              <w:jc w:val="center"/>
              <w:rPr>
                <w:rFonts w:ascii="Times New Roman" w:hAnsi="Times New Roman"/>
                <w:kern w:val="0"/>
              </w:rPr>
            </w:pPr>
            <w:r>
              <w:rPr>
                <w:rFonts w:hint="eastAsia" w:ascii="Times New Roman" w:hAnsi="Times New Roman"/>
                <w:kern w:val="0"/>
              </w:rPr>
              <w:t>颈部皮下</w:t>
            </w:r>
          </w:p>
        </w:tc>
        <w:tc>
          <w:tcPr>
            <w:tcW w:w="2185" w:type="dxa"/>
            <w:vAlign w:val="center"/>
          </w:tcPr>
          <w:p>
            <w:pPr>
              <w:widowControl/>
              <w:jc w:val="center"/>
              <w:rPr>
                <w:rFonts w:ascii="Times New Roman" w:hAnsi="Times New Roman"/>
                <w:kern w:val="0"/>
              </w:rPr>
            </w:pPr>
            <w:r>
              <w:rPr>
                <w:rFonts w:hint="eastAsia" w:ascii="Times New Roman" w:hAnsi="Times New Roman"/>
              </w:rPr>
              <w:t>按照使用说明书执行</w:t>
            </w:r>
          </w:p>
        </w:tc>
      </w:tr>
    </w:tbl>
    <w:p>
      <w:pPr>
        <w:pStyle w:val="56"/>
        <w:ind w:firstLine="420"/>
      </w:pPr>
    </w:p>
    <w:p>
      <w:pPr>
        <w:pStyle w:val="56"/>
        <w:ind w:firstLine="420"/>
      </w:pPr>
    </w:p>
    <w:p>
      <w:pPr>
        <w:pStyle w:val="56"/>
        <w:ind w:firstLine="420"/>
      </w:pPr>
    </w:p>
    <w:p>
      <w:pPr>
        <w:pStyle w:val="56"/>
        <w:ind w:firstLine="420"/>
      </w:pPr>
    </w:p>
    <w:bookmarkEnd w:id="44"/>
    <w:p>
      <w:pPr>
        <w:pStyle w:val="56"/>
        <w:ind w:firstLine="420"/>
        <w:sectPr>
          <w:pgSz w:w="11906" w:h="16838"/>
          <w:pgMar w:top="1928" w:right="1134" w:bottom="1134" w:left="1134" w:header="1418" w:footer="1134" w:gutter="284"/>
          <w:cols w:space="425" w:num="1"/>
          <w:formProt w:val="0"/>
          <w:docGrid w:type="lines" w:linePitch="312" w:charSpace="0"/>
        </w:sectPr>
      </w:pPr>
      <w:bookmarkStart w:id="45" w:name="BookMark6"/>
    </w:p>
    <w:p>
      <w:pPr>
        <w:pStyle w:val="63"/>
        <w:spacing w:after="156"/>
        <w:rPr>
          <w:rFonts w:hint="eastAsia"/>
        </w:rPr>
      </w:pPr>
      <w:r>
        <w:rPr>
          <w:rFonts w:hint="eastAsia"/>
          <w:spacing w:val="105"/>
        </w:rPr>
        <w:t>参考文</w:t>
      </w:r>
      <w:r>
        <w:rPr>
          <w:rFonts w:hint="eastAsia"/>
        </w:rPr>
        <w:t>献</w:t>
      </w:r>
    </w:p>
    <w:p>
      <w:pPr>
        <w:pStyle w:val="56"/>
        <w:ind w:firstLine="420"/>
      </w:pPr>
    </w:p>
    <w:p>
      <w:pPr>
        <w:pStyle w:val="56"/>
        <w:ind w:firstLine="420"/>
      </w:pPr>
    </w:p>
    <w:p>
      <w:pPr>
        <w:snapToGrid w:val="0"/>
        <w:spacing w:line="360" w:lineRule="auto"/>
        <w:ind w:firstLine="420" w:firstLineChars="200"/>
        <w:rPr>
          <w:rStyle w:val="230"/>
          <w:rFonts w:ascii="Times New Roman" w:hAnsi="Times New Roman"/>
          <w:sz w:val="21"/>
          <w:szCs w:val="21"/>
        </w:rPr>
      </w:pPr>
      <w:r>
        <w:rPr>
          <w:rStyle w:val="230"/>
          <w:rFonts w:hint="eastAsia" w:ascii="Times New Roman" w:hAnsi="Times New Roman"/>
          <w:sz w:val="21"/>
          <w:szCs w:val="21"/>
        </w:rPr>
        <w:t>农医发（</w:t>
      </w:r>
      <w:r>
        <w:rPr>
          <w:rStyle w:val="230"/>
          <w:rFonts w:ascii="Times New Roman" w:hAnsi="Times New Roman"/>
          <w:sz w:val="21"/>
          <w:szCs w:val="21"/>
        </w:rPr>
        <w:t>2017</w:t>
      </w:r>
      <w:r>
        <w:rPr>
          <w:rStyle w:val="230"/>
          <w:rFonts w:hint="eastAsia" w:ascii="Times New Roman" w:hAnsi="Times New Roman"/>
          <w:sz w:val="21"/>
          <w:szCs w:val="21"/>
        </w:rPr>
        <w:t>）</w:t>
      </w:r>
      <w:r>
        <w:rPr>
          <w:rStyle w:val="230"/>
          <w:rFonts w:ascii="Times New Roman" w:hAnsi="Times New Roman"/>
          <w:sz w:val="21"/>
          <w:szCs w:val="21"/>
        </w:rPr>
        <w:t>25</w:t>
      </w:r>
      <w:r>
        <w:rPr>
          <w:rStyle w:val="230"/>
          <w:rFonts w:hint="eastAsia" w:ascii="Times New Roman" w:hAnsi="Times New Roman"/>
          <w:sz w:val="21"/>
          <w:szCs w:val="21"/>
        </w:rPr>
        <w:t>号《病死及病害动物无害化处理技术规范》</w:t>
      </w:r>
    </w:p>
    <w:p>
      <w:pPr>
        <w:snapToGrid w:val="0"/>
        <w:spacing w:line="360" w:lineRule="auto"/>
        <w:ind w:firstLine="420" w:firstLineChars="200"/>
        <w:rPr>
          <w:rStyle w:val="230"/>
          <w:rFonts w:ascii="Times New Roman" w:hAnsi="Times New Roman"/>
          <w:sz w:val="21"/>
          <w:szCs w:val="21"/>
        </w:rPr>
      </w:pPr>
      <w:r>
        <w:rPr>
          <w:rStyle w:val="230"/>
          <w:rFonts w:hint="eastAsia" w:ascii="Times New Roman" w:hAnsi="Times New Roman"/>
          <w:sz w:val="21"/>
          <w:szCs w:val="21"/>
        </w:rPr>
        <w:t>农业部令</w:t>
      </w:r>
      <w:r>
        <w:rPr>
          <w:rStyle w:val="230"/>
          <w:rFonts w:ascii="Times New Roman" w:hAnsi="Times New Roman"/>
          <w:sz w:val="21"/>
          <w:szCs w:val="21"/>
        </w:rPr>
        <w:t>2010</w:t>
      </w:r>
      <w:r>
        <w:rPr>
          <w:rStyle w:val="230"/>
          <w:rFonts w:hint="eastAsia" w:ascii="Times New Roman" w:hAnsi="Times New Roman"/>
          <w:sz w:val="21"/>
          <w:szCs w:val="21"/>
        </w:rPr>
        <w:t>年第</w:t>
      </w:r>
      <w:r>
        <w:rPr>
          <w:rStyle w:val="230"/>
          <w:rFonts w:ascii="Times New Roman" w:hAnsi="Times New Roman"/>
          <w:sz w:val="21"/>
          <w:szCs w:val="21"/>
        </w:rPr>
        <w:t>6</w:t>
      </w:r>
      <w:r>
        <w:rPr>
          <w:rStyle w:val="230"/>
          <w:rFonts w:hint="eastAsia" w:ascii="Times New Roman" w:hAnsi="Times New Roman"/>
          <w:sz w:val="21"/>
          <w:szCs w:val="21"/>
        </w:rPr>
        <w:t>号《动物检疫管理办法》</w:t>
      </w:r>
    </w:p>
    <w:p>
      <w:pPr>
        <w:snapToGrid w:val="0"/>
        <w:spacing w:line="360" w:lineRule="auto"/>
        <w:ind w:firstLine="420" w:firstLineChars="200"/>
        <w:rPr>
          <w:rStyle w:val="230"/>
          <w:rFonts w:ascii="Times New Roman" w:hAnsi="Times New Roman"/>
          <w:sz w:val="21"/>
          <w:szCs w:val="21"/>
        </w:rPr>
      </w:pPr>
      <w:r>
        <w:rPr>
          <w:rStyle w:val="230"/>
          <w:rFonts w:hint="eastAsia" w:ascii="Times New Roman" w:hAnsi="Times New Roman"/>
          <w:sz w:val="21"/>
          <w:szCs w:val="21"/>
        </w:rPr>
        <w:t>中华人民共和国农业部令〔</w:t>
      </w:r>
      <w:r>
        <w:rPr>
          <w:rStyle w:val="230"/>
          <w:rFonts w:ascii="Times New Roman" w:hAnsi="Times New Roman"/>
          <w:sz w:val="21"/>
          <w:szCs w:val="21"/>
        </w:rPr>
        <w:t>2006</w:t>
      </w:r>
      <w:r>
        <w:rPr>
          <w:rStyle w:val="230"/>
          <w:rFonts w:hint="eastAsia" w:ascii="Times New Roman" w:hAnsi="Times New Roman"/>
          <w:sz w:val="21"/>
          <w:szCs w:val="21"/>
        </w:rPr>
        <w:t>〕第</w:t>
      </w:r>
      <w:r>
        <w:rPr>
          <w:rStyle w:val="230"/>
          <w:rFonts w:ascii="Times New Roman" w:hAnsi="Times New Roman"/>
          <w:sz w:val="21"/>
          <w:szCs w:val="21"/>
        </w:rPr>
        <w:t>67</w:t>
      </w:r>
      <w:r>
        <w:rPr>
          <w:rStyle w:val="230"/>
          <w:rFonts w:hint="eastAsia" w:ascii="Times New Roman" w:hAnsi="Times New Roman"/>
          <w:sz w:val="21"/>
          <w:szCs w:val="21"/>
        </w:rPr>
        <w:t>号</w:t>
      </w:r>
      <w:r>
        <w:rPr>
          <w:rStyle w:val="230"/>
          <w:rFonts w:ascii="Times New Roman" w:hAnsi="Times New Roman"/>
          <w:sz w:val="21"/>
          <w:szCs w:val="21"/>
        </w:rPr>
        <w:t xml:space="preserve"> </w:t>
      </w:r>
      <w:r>
        <w:rPr>
          <w:rStyle w:val="230"/>
          <w:rFonts w:hint="eastAsia" w:ascii="Times New Roman" w:hAnsi="Times New Roman"/>
          <w:sz w:val="21"/>
          <w:szCs w:val="21"/>
        </w:rPr>
        <w:t>畜禽标识和养殖档案管理办法</w:t>
      </w:r>
    </w:p>
    <w:p>
      <w:pPr>
        <w:snapToGrid w:val="0"/>
        <w:spacing w:line="360" w:lineRule="auto"/>
        <w:ind w:firstLine="420" w:firstLineChars="200"/>
        <w:rPr>
          <w:rStyle w:val="230"/>
          <w:rFonts w:ascii="Times New Roman" w:hAnsi="Times New Roman"/>
          <w:sz w:val="21"/>
          <w:szCs w:val="21"/>
        </w:rPr>
      </w:pPr>
      <w:r>
        <w:rPr>
          <w:rStyle w:val="230"/>
          <w:rFonts w:hint="eastAsia" w:ascii="Times New Roman" w:hAnsi="Times New Roman"/>
          <w:sz w:val="21"/>
          <w:szCs w:val="21"/>
        </w:rPr>
        <w:t>国务院令</w:t>
      </w:r>
      <w:r>
        <w:rPr>
          <w:rStyle w:val="230"/>
          <w:rFonts w:ascii="Times New Roman" w:hAnsi="Times New Roman"/>
          <w:sz w:val="21"/>
          <w:szCs w:val="21"/>
        </w:rPr>
        <w:t>2020</w:t>
      </w:r>
      <w:r>
        <w:rPr>
          <w:rStyle w:val="230"/>
          <w:rFonts w:hint="eastAsia" w:ascii="Times New Roman" w:hAnsi="Times New Roman"/>
          <w:sz w:val="21"/>
          <w:szCs w:val="21"/>
        </w:rPr>
        <w:t>年第</w:t>
      </w:r>
      <w:r>
        <w:rPr>
          <w:rStyle w:val="230"/>
          <w:rFonts w:ascii="Times New Roman" w:hAnsi="Times New Roman"/>
          <w:sz w:val="21"/>
          <w:szCs w:val="21"/>
        </w:rPr>
        <w:t>726</w:t>
      </w:r>
      <w:r>
        <w:rPr>
          <w:rStyle w:val="230"/>
          <w:rFonts w:hint="eastAsia" w:ascii="Times New Roman" w:hAnsi="Times New Roman"/>
          <w:sz w:val="21"/>
          <w:szCs w:val="21"/>
        </w:rPr>
        <w:t>号《兽药管理条例》</w:t>
      </w:r>
    </w:p>
    <w:p>
      <w:pPr>
        <w:snapToGrid w:val="0"/>
        <w:spacing w:line="360" w:lineRule="auto"/>
        <w:ind w:firstLine="420" w:firstLineChars="200"/>
        <w:rPr>
          <w:rStyle w:val="230"/>
          <w:rFonts w:ascii="Times New Roman" w:hAnsi="Times New Roman"/>
          <w:sz w:val="21"/>
          <w:szCs w:val="21"/>
        </w:rPr>
      </w:pPr>
      <w:r>
        <w:rPr>
          <w:rStyle w:val="230"/>
          <w:rFonts w:hint="eastAsia" w:ascii="Times New Roman" w:hAnsi="Times New Roman"/>
          <w:sz w:val="21"/>
          <w:szCs w:val="21"/>
        </w:rPr>
        <w:t>《中华人民共和国动物防疫法》</w:t>
      </w:r>
    </w:p>
    <w:p>
      <w:pPr>
        <w:snapToGrid w:val="0"/>
        <w:spacing w:line="360" w:lineRule="auto"/>
        <w:ind w:firstLine="420" w:firstLineChars="200"/>
        <w:rPr>
          <w:rStyle w:val="230"/>
          <w:rFonts w:ascii="Times New Roman" w:hAnsi="Times New Roman"/>
          <w:sz w:val="21"/>
          <w:szCs w:val="21"/>
        </w:rPr>
      </w:pPr>
      <w:r>
        <w:rPr>
          <w:rStyle w:val="230"/>
          <w:rFonts w:hint="eastAsia" w:ascii="Times New Roman" w:hAnsi="Times New Roman"/>
          <w:sz w:val="21"/>
          <w:szCs w:val="21"/>
        </w:rPr>
        <w:t>《中华人民共和国畜牧法》</w:t>
      </w:r>
    </w:p>
    <w:p>
      <w:pPr>
        <w:snapToGrid w:val="0"/>
        <w:spacing w:line="360" w:lineRule="auto"/>
        <w:ind w:firstLine="420" w:firstLineChars="200"/>
        <w:rPr>
          <w:rStyle w:val="230"/>
          <w:rFonts w:ascii="Times New Roman" w:hAnsi="Times New Roman"/>
          <w:sz w:val="21"/>
          <w:szCs w:val="21"/>
        </w:rPr>
      </w:pPr>
      <w:r>
        <w:rPr>
          <w:rStyle w:val="230"/>
          <w:rFonts w:hint="eastAsia" w:ascii="Times New Roman" w:hAnsi="Times New Roman"/>
          <w:sz w:val="21"/>
          <w:szCs w:val="21"/>
        </w:rPr>
        <w:t>《动物防疫条件审查办法》</w:t>
      </w:r>
    </w:p>
    <w:p>
      <w:pPr>
        <w:pStyle w:val="56"/>
        <w:ind w:firstLine="420"/>
      </w:pPr>
    </w:p>
    <w:p>
      <w:pPr>
        <w:pStyle w:val="56"/>
        <w:ind w:firstLine="420"/>
      </w:pPr>
    </w:p>
    <w:bookmarkEnd w:id="45"/>
    <w:p>
      <w:pPr>
        <w:pStyle w:val="56"/>
        <w:ind w:firstLine="0" w:firstLineChars="0"/>
        <w:jc w:val="center"/>
      </w:pPr>
      <w:bookmarkStart w:id="46"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Fonts w:hint="eastAsia"/>
      </w:rPr>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rFonts w:hint="eastAsia"/>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rFonts w:hint="eastAsia"/>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3212/T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rFonts w:hint="eastAsia"/>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3212/T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HxJO8QEjgiRFaUg/DoxcglK/VfCJhmjfQXyEV6wlE2k6jyLoi7xsRRaHfFtQblsZ2C/LqtwTVwFFDSHAQ4C6WQ==" w:salt="V7XhssvoZwOicPrdTJM4H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IxZTlhZWY5YzcxZDcyMjNlNTA2YTA3MGU5NWIyMDYifQ=="/>
  </w:docVars>
  <w:rsids>
    <w:rsidRoot w:val="008B3BB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78B4"/>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110"/>
    <w:rsid w:val="0016770A"/>
    <w:rsid w:val="00170804"/>
    <w:rsid w:val="001708E9"/>
    <w:rsid w:val="0017340B"/>
    <w:rsid w:val="00173FB1"/>
    <w:rsid w:val="00176DFD"/>
    <w:rsid w:val="001852C9"/>
    <w:rsid w:val="00190087"/>
    <w:rsid w:val="001913C4"/>
    <w:rsid w:val="00192E45"/>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1300"/>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7B10"/>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5E0E"/>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5F0"/>
    <w:rsid w:val="00404762"/>
    <w:rsid w:val="00404869"/>
    <w:rsid w:val="00405884"/>
    <w:rsid w:val="00407D39"/>
    <w:rsid w:val="0041477A"/>
    <w:rsid w:val="004167A3"/>
    <w:rsid w:val="0042614D"/>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339"/>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1DB1"/>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0D5"/>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10E4"/>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3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3BBB"/>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139A"/>
    <w:rsid w:val="009429D5"/>
    <w:rsid w:val="00942BF1"/>
    <w:rsid w:val="00945180"/>
    <w:rsid w:val="00945428"/>
    <w:rsid w:val="0094607B"/>
    <w:rsid w:val="009525BD"/>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77C0"/>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7E7C"/>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6C85"/>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C9D"/>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7E3"/>
    <w:rsid w:val="00E62FF9"/>
    <w:rsid w:val="00E635D6"/>
    <w:rsid w:val="00E639BC"/>
    <w:rsid w:val="00E6508D"/>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4923"/>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687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2CC"/>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AB5AF9"/>
    <w:rsid w:val="058A40EC"/>
    <w:rsid w:val="07E51AAD"/>
    <w:rsid w:val="08D2242B"/>
    <w:rsid w:val="090B78C6"/>
    <w:rsid w:val="0B7218AA"/>
    <w:rsid w:val="0E230C39"/>
    <w:rsid w:val="0E456E02"/>
    <w:rsid w:val="0E525ADF"/>
    <w:rsid w:val="0E8236FA"/>
    <w:rsid w:val="0FC76707"/>
    <w:rsid w:val="13EA4C70"/>
    <w:rsid w:val="15FC5440"/>
    <w:rsid w:val="18FE652B"/>
    <w:rsid w:val="19B1359D"/>
    <w:rsid w:val="1B650AE3"/>
    <w:rsid w:val="1C7843D2"/>
    <w:rsid w:val="1F405385"/>
    <w:rsid w:val="23EA427B"/>
    <w:rsid w:val="23ED5B1A"/>
    <w:rsid w:val="27E234FC"/>
    <w:rsid w:val="2A07545B"/>
    <w:rsid w:val="2A4553D0"/>
    <w:rsid w:val="2C01390B"/>
    <w:rsid w:val="2E444588"/>
    <w:rsid w:val="2E8C4181"/>
    <w:rsid w:val="2F5B427F"/>
    <w:rsid w:val="30C45E54"/>
    <w:rsid w:val="382C4A0B"/>
    <w:rsid w:val="3C4542ED"/>
    <w:rsid w:val="3CF55ADE"/>
    <w:rsid w:val="41D5481A"/>
    <w:rsid w:val="438923ED"/>
    <w:rsid w:val="482B2D9D"/>
    <w:rsid w:val="4AE64EED"/>
    <w:rsid w:val="4CFF501F"/>
    <w:rsid w:val="4E5A52AA"/>
    <w:rsid w:val="51782617"/>
    <w:rsid w:val="55BB6F76"/>
    <w:rsid w:val="570D55B0"/>
    <w:rsid w:val="5AA61FA3"/>
    <w:rsid w:val="5DE51050"/>
    <w:rsid w:val="60B50CCE"/>
    <w:rsid w:val="60BF3DBF"/>
    <w:rsid w:val="62C45238"/>
    <w:rsid w:val="69A91168"/>
    <w:rsid w:val="6CD504C6"/>
    <w:rsid w:val="6D8617C0"/>
    <w:rsid w:val="767C27B0"/>
    <w:rsid w:val="776E579F"/>
    <w:rsid w:val="7C18217D"/>
    <w:rsid w:val="7F7F5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b/>
      <w:bCs/>
      <w:kern w:val="44"/>
      <w:sz w:val="44"/>
      <w:szCs w:val="44"/>
    </w:rPr>
  </w:style>
  <w:style w:type="character" w:customStyle="1" w:styleId="35">
    <w:name w:val="标题 2 Char"/>
    <w:link w:val="3"/>
    <w:autoRedefine/>
    <w:qFormat/>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autoRedefine/>
    <w:qFormat/>
    <w:uiPriority w:val="0"/>
    <w:rPr>
      <w:rFonts w:ascii="Arial" w:hAnsi="Arial" w:eastAsia="黑体"/>
      <w:b/>
      <w:bCs/>
      <w:kern w:val="2"/>
      <w:sz w:val="28"/>
      <w:szCs w:val="28"/>
    </w:rPr>
  </w:style>
  <w:style w:type="character" w:customStyle="1" w:styleId="38">
    <w:name w:val="标题 5 Char"/>
    <w:link w:val="6"/>
    <w:autoRedefine/>
    <w:qFormat/>
    <w:uiPriority w:val="0"/>
    <w:rPr>
      <w:b/>
      <w:bCs/>
      <w:kern w:val="2"/>
      <w:sz w:val="28"/>
      <w:szCs w:val="28"/>
    </w:rPr>
  </w:style>
  <w:style w:type="character" w:customStyle="1" w:styleId="39">
    <w:name w:val="标题 6 Char"/>
    <w:link w:val="7"/>
    <w:autoRedefine/>
    <w:qFormat/>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autoRedefine/>
    <w:qFormat/>
    <w:uiPriority w:val="0"/>
    <w:rPr>
      <w:rFonts w:ascii="Arial" w:hAnsi="Arial" w:eastAsia="黑体"/>
      <w:kern w:val="2"/>
      <w:sz w:val="24"/>
      <w:szCs w:val="24"/>
    </w:rPr>
  </w:style>
  <w:style w:type="character" w:customStyle="1" w:styleId="42">
    <w:name w:val="标题 9 Char"/>
    <w:link w:val="10"/>
    <w:autoRedefine/>
    <w:qFormat/>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autoRedefine/>
    <w:qFormat/>
    <w:uiPriority w:val="99"/>
    <w:rPr>
      <w:rFonts w:ascii="宋体"/>
      <w:kern w:val="2"/>
      <w:sz w:val="18"/>
      <w:szCs w:val="18"/>
    </w:rPr>
  </w:style>
  <w:style w:type="character" w:customStyle="1" w:styleId="45">
    <w:name w:val="批注框文本 Char"/>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character" w:customStyle="1" w:styleId="230">
    <w:name w:val="fontstyle21"/>
    <w:autoRedefine/>
    <w:qFormat/>
    <w:uiPriority w:val="99"/>
    <w:rPr>
      <w:rFonts w:ascii="宋体" w:hAnsi="宋体" w:eastAsia="宋体" w:cs="Times New Roman"/>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6C811439F5C4461B179A29FE18571DA"/>
        <w:style w:val=""/>
        <w:category>
          <w:name w:val="常规"/>
          <w:gallery w:val="placeholder"/>
        </w:category>
        <w:types>
          <w:type w:val="bbPlcHdr"/>
        </w:types>
        <w:behaviors>
          <w:behavior w:val="content"/>
        </w:behaviors>
        <w:description w:val=""/>
        <w:guid w:val="{CE4F88FA-3E58-4E19-A161-1AE696AB144B}"/>
      </w:docPartPr>
      <w:docPartBody>
        <w:p>
          <w:pPr>
            <w:pStyle w:val="5"/>
          </w:pPr>
          <w:r>
            <w:rPr>
              <w:rStyle w:val="4"/>
              <w:rFonts w:hint="eastAsia"/>
            </w:rPr>
            <w:t>单击或点击此处输入文字。</w:t>
          </w:r>
        </w:p>
      </w:docPartBody>
    </w:docPart>
    <w:docPart>
      <w:docPartPr>
        <w:name w:val="842B995067C44A7BAB3E1FCA3DE34277"/>
        <w:style w:val=""/>
        <w:category>
          <w:name w:val="常规"/>
          <w:gallery w:val="placeholder"/>
        </w:category>
        <w:types>
          <w:type w:val="bbPlcHdr"/>
        </w:types>
        <w:behaviors>
          <w:behavior w:val="content"/>
        </w:behaviors>
        <w:description w:val=""/>
        <w:guid w:val="{0DB06E0D-B33F-4E0E-97A2-D9112A2BAE08}"/>
      </w:docPartPr>
      <w:docPartBody>
        <w:p>
          <w:pPr>
            <w:pStyle w:val="6"/>
          </w:pPr>
          <w:r>
            <w:rPr>
              <w:rStyle w:val="4"/>
              <w:rFonts w:hint="eastAsia"/>
            </w:rPr>
            <w:t>选择一项。</w:t>
          </w:r>
        </w:p>
      </w:docPartBody>
    </w:docPart>
    <w:docPart>
      <w:docPartPr>
        <w:name w:val="BEE3965353FD40D78D61CC1AE1FF546D"/>
        <w:style w:val=""/>
        <w:category>
          <w:name w:val="常规"/>
          <w:gallery w:val="placeholder"/>
        </w:category>
        <w:types>
          <w:type w:val="bbPlcHdr"/>
        </w:types>
        <w:behaviors>
          <w:behavior w:val="content"/>
        </w:behaviors>
        <w:description w:val=""/>
        <w:guid w:val="{12D7CCDF-F18A-4466-AF12-B965FFADAFD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850"/>
    <w:rsid w:val="00181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B6C811439F5C4461B179A29FE18571D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42B995067C44A7BAB3E1FCA3DE3427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EE3965353FD40D78D61CC1AE1FF546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62A26F-3600-4658-9650-3807984169A4}">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1940</Words>
  <Characters>2425</Characters>
  <Lines>404</Lines>
  <Paragraphs>363</Paragraphs>
  <TotalTime>14</TotalTime>
  <ScaleCrop>false</ScaleCrop>
  <LinksUpToDate>false</LinksUpToDate>
  <CharactersWithSpaces>4002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2024-04-25T00:18:00Z</dcterms:created>
  <dc:creator>dreamsummit</dc:creator>
  <dc:description>&lt;config cover="true" show_menu="true" version="1.0.0" doctype="SDKXY"&gt;_x000d_
&lt;/config&gt;</dc:description>
  <cp:lastModifiedBy>蓝天白云</cp:lastModifiedBy>
  <cp:lastPrinted>2020-08-30T10:00:00Z</cp:lastPrinted>
  <dcterms:modified xsi:type="dcterms:W3CDTF">2024-04-29T05:52:31Z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2052-12.1.0.16729</vt:lpwstr>
  </property>
  <property fmtid="{D5CDD505-2E9C-101B-9397-08002B2CF9AE}" pid="15" name="ICV">
    <vt:lpwstr>9BA2429ECC1E46DAB36CBFFC5F49C7EB_12</vt:lpwstr>
  </property>
</Properties>
</file>